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1EB66D">
      <w:pPr>
        <w:keepNext w:val="0"/>
        <w:keepLines w:val="0"/>
        <w:pageBreakBefore w:val="0"/>
        <w:widowControl w:val="0"/>
        <w:kinsoku/>
        <w:overflowPunct/>
        <w:topLinePunct w:val="0"/>
        <w:autoSpaceDE/>
        <w:bidi w:val="0"/>
        <w:spacing w:line="600" w:lineRule="exact"/>
        <w:jc w:val="center"/>
        <w:textAlignment w:val="auto"/>
        <w:rPr>
          <w:rFonts w:hint="eastAsia" w:ascii="方正小标宋简体" w:hAnsi="方正小标宋简体" w:eastAsia="方正小标宋简体" w:cs="方正小标宋简体"/>
          <w:color w:val="auto"/>
          <w:sz w:val="48"/>
          <w:szCs w:val="48"/>
          <w:lang w:val="en-US"/>
        </w:rPr>
      </w:pPr>
    </w:p>
    <w:p w14:paraId="38A6A8E1">
      <w:pPr>
        <w:keepNext w:val="0"/>
        <w:keepLines w:val="0"/>
        <w:pageBreakBefore w:val="0"/>
        <w:widowControl w:val="0"/>
        <w:kinsoku/>
        <w:overflowPunct/>
        <w:topLinePunct w:val="0"/>
        <w:autoSpaceDE/>
        <w:bidi w:val="0"/>
        <w:spacing w:line="600" w:lineRule="exact"/>
        <w:jc w:val="center"/>
        <w:textAlignment w:val="auto"/>
        <w:rPr>
          <w:rFonts w:hint="eastAsia" w:ascii="方正小标宋简体" w:hAnsi="方正小标宋简体" w:eastAsia="方正小标宋简体" w:cs="方正小标宋简体"/>
          <w:color w:val="auto"/>
          <w:sz w:val="48"/>
          <w:szCs w:val="48"/>
          <w:lang w:val="en-US"/>
        </w:rPr>
      </w:pPr>
    </w:p>
    <w:p w14:paraId="1F456E16">
      <w:pPr>
        <w:keepNext w:val="0"/>
        <w:keepLines w:val="0"/>
        <w:pageBreakBefore w:val="0"/>
        <w:widowControl w:val="0"/>
        <w:kinsoku/>
        <w:overflowPunct/>
        <w:topLinePunct w:val="0"/>
        <w:autoSpaceDE/>
        <w:bidi w:val="0"/>
        <w:spacing w:line="600" w:lineRule="exact"/>
        <w:jc w:val="center"/>
        <w:textAlignment w:val="auto"/>
        <w:rPr>
          <w:rFonts w:hint="eastAsia" w:ascii="方正小标宋简体" w:hAnsi="方正小标宋简体" w:eastAsia="方正小标宋简体" w:cs="方正小标宋简体"/>
          <w:color w:val="auto"/>
          <w:sz w:val="48"/>
          <w:szCs w:val="48"/>
          <w:lang w:val="en-US"/>
        </w:rPr>
      </w:pPr>
    </w:p>
    <w:p w14:paraId="01F8DBF7">
      <w:pPr>
        <w:keepNext w:val="0"/>
        <w:keepLines w:val="0"/>
        <w:pageBreakBefore w:val="0"/>
        <w:widowControl w:val="0"/>
        <w:kinsoku/>
        <w:overflowPunct/>
        <w:topLinePunct w:val="0"/>
        <w:autoSpaceDE/>
        <w:bidi w:val="0"/>
        <w:spacing w:line="600" w:lineRule="exact"/>
        <w:jc w:val="center"/>
        <w:textAlignment w:val="auto"/>
        <w:rPr>
          <w:rFonts w:hint="eastAsia" w:ascii="方正小标宋简体" w:hAnsi="方正小标宋简体" w:eastAsia="方正小标宋简体" w:cs="方正小标宋简体"/>
          <w:color w:val="auto"/>
          <w:sz w:val="48"/>
          <w:szCs w:val="48"/>
          <w:lang w:val="en-US"/>
        </w:rPr>
      </w:pPr>
    </w:p>
    <w:p w14:paraId="54C04625">
      <w:pPr>
        <w:keepNext w:val="0"/>
        <w:keepLines w:val="0"/>
        <w:pageBreakBefore w:val="0"/>
        <w:widowControl w:val="0"/>
        <w:kinsoku/>
        <w:overflowPunct/>
        <w:topLinePunct w:val="0"/>
        <w:autoSpaceDE/>
        <w:bidi w:val="0"/>
        <w:spacing w:line="600" w:lineRule="exact"/>
        <w:jc w:val="center"/>
        <w:textAlignment w:val="auto"/>
        <w:rPr>
          <w:rFonts w:hint="eastAsia" w:ascii="方正小标宋简体" w:hAnsi="方正小标宋简体" w:eastAsia="方正小标宋简体" w:cs="方正小标宋简体"/>
          <w:color w:val="auto"/>
          <w:sz w:val="48"/>
          <w:szCs w:val="48"/>
          <w:lang w:val="en-US"/>
        </w:rPr>
      </w:pPr>
    </w:p>
    <w:p w14:paraId="32D2AE98">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hint="eastAsia" w:ascii="方正小标宋简体" w:hAnsi="方正小标宋简体" w:eastAsia="方正小标宋简体" w:cs="方正小标宋简体"/>
          <w:b w:val="0"/>
          <w:bCs w:val="0"/>
          <w:color w:val="auto"/>
          <w:sz w:val="44"/>
          <w:szCs w:val="44"/>
          <w:lang w:val="en-US"/>
        </w:rPr>
      </w:pPr>
      <w:bookmarkStart w:id="0" w:name="_Toc32646"/>
      <w:r>
        <w:rPr>
          <w:rFonts w:hint="eastAsia" w:ascii="方正小标宋简体" w:hAnsi="方正小标宋简体" w:eastAsia="方正小标宋简体" w:cs="方正小标宋简体"/>
          <w:b w:val="0"/>
          <w:bCs w:val="0"/>
          <w:color w:val="auto"/>
          <w:sz w:val="44"/>
          <w:szCs w:val="44"/>
          <w:lang w:val="en-US"/>
        </w:rPr>
        <w:t>西藏</w:t>
      </w:r>
      <w:r>
        <w:rPr>
          <w:rFonts w:hint="eastAsia" w:ascii="方正小标宋简体" w:hAnsi="方正小标宋简体" w:eastAsia="方正小标宋简体" w:cs="方正小标宋简体"/>
          <w:b w:val="0"/>
          <w:bCs w:val="0"/>
          <w:color w:val="auto"/>
          <w:sz w:val="44"/>
          <w:szCs w:val="44"/>
          <w:lang w:val="en-US" w:eastAsia="zh-CN"/>
        </w:rPr>
        <w:t>自治区那曲</w:t>
      </w:r>
      <w:r>
        <w:rPr>
          <w:rFonts w:hint="eastAsia" w:ascii="方正小标宋简体" w:hAnsi="方正小标宋简体" w:eastAsia="方正小标宋简体" w:cs="方正小标宋简体"/>
          <w:b w:val="0"/>
          <w:bCs w:val="0"/>
          <w:color w:val="auto"/>
          <w:sz w:val="44"/>
          <w:szCs w:val="44"/>
          <w:lang w:val="en-US"/>
        </w:rPr>
        <w:t>市“十五五”民政事业</w:t>
      </w:r>
      <w:bookmarkEnd w:id="0"/>
    </w:p>
    <w:p w14:paraId="40A15471">
      <w:pPr>
        <w:keepNext w:val="0"/>
        <w:keepLines w:val="0"/>
        <w:pageBreakBefore w:val="0"/>
        <w:widowControl w:val="0"/>
        <w:kinsoku/>
        <w:wordWrap/>
        <w:overflowPunct/>
        <w:topLinePunct w:val="0"/>
        <w:autoSpaceDE/>
        <w:autoSpaceDN/>
        <w:bidi w:val="0"/>
        <w:adjustRightInd/>
        <w:snapToGrid/>
        <w:spacing w:line="9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eastAsia="zh-CN"/>
        </w:rPr>
      </w:pPr>
      <w:r>
        <w:rPr>
          <w:rFonts w:hint="eastAsia" w:ascii="方正小标宋简体" w:hAnsi="方正小标宋简体" w:eastAsia="方正小标宋简体" w:cs="方正小标宋简体"/>
          <w:b w:val="0"/>
          <w:bCs w:val="0"/>
          <w:color w:val="auto"/>
          <w:sz w:val="44"/>
          <w:szCs w:val="44"/>
          <w:lang w:val="en-US"/>
        </w:rPr>
        <w:t>发展规划</w:t>
      </w:r>
      <w:r>
        <w:rPr>
          <w:rFonts w:hint="eastAsia" w:ascii="方正小标宋简体" w:hAnsi="方正小标宋简体" w:eastAsia="方正小标宋简体" w:cs="方正小标宋简体"/>
          <w:b w:val="0"/>
          <w:bCs w:val="0"/>
          <w:color w:val="auto"/>
          <w:sz w:val="44"/>
          <w:szCs w:val="44"/>
          <w:lang w:val="en-US" w:eastAsia="zh-CN"/>
        </w:rPr>
        <w:t>（</w:t>
      </w:r>
      <w:r>
        <w:rPr>
          <w:rFonts w:hint="default" w:ascii="Times New Roman" w:hAnsi="Times New Roman" w:eastAsia="方正小标宋简体" w:cs="Times New Roman"/>
          <w:b w:val="0"/>
          <w:bCs w:val="0"/>
          <w:color w:val="auto"/>
          <w:sz w:val="44"/>
          <w:szCs w:val="44"/>
          <w:lang w:val="en-US" w:eastAsia="zh-CN"/>
        </w:rPr>
        <w:t>2026—2030</w:t>
      </w:r>
      <w:r>
        <w:rPr>
          <w:rFonts w:hint="eastAsia" w:ascii="方正小标宋简体" w:hAnsi="方正小标宋简体" w:eastAsia="方正小标宋简体" w:cs="方正小标宋简体"/>
          <w:b w:val="0"/>
          <w:bCs w:val="0"/>
          <w:color w:val="auto"/>
          <w:sz w:val="44"/>
          <w:szCs w:val="44"/>
          <w:lang w:val="en-US" w:eastAsia="zh-CN"/>
        </w:rPr>
        <w:t>年）</w:t>
      </w:r>
    </w:p>
    <w:p w14:paraId="47E18136">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仿宋_GBK" w:hAnsi="方正仿宋_GBK" w:eastAsia="方正仿宋_GBK" w:cs="方正仿宋_GBK"/>
          <w:b w:val="0"/>
          <w:bCs w:val="0"/>
          <w:color w:val="auto"/>
          <w:sz w:val="48"/>
          <w:szCs w:val="48"/>
          <w:lang w:val="en-US" w:eastAsia="zh-CN"/>
        </w:rPr>
      </w:pPr>
    </w:p>
    <w:p w14:paraId="2D221581">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（修改稿）</w:t>
      </w:r>
    </w:p>
    <w:p w14:paraId="0BCB7DF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528E7D5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662AB06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44CE786C">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7442DA5B">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2CE94A52">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方正小标宋简体" w:eastAsia="方正小标宋简体" w:cs="方正小标宋简体"/>
          <w:b w:val="0"/>
          <w:bCs w:val="0"/>
          <w:color w:val="auto"/>
          <w:sz w:val="48"/>
          <w:szCs w:val="48"/>
          <w:lang w:val="en-US"/>
        </w:rPr>
      </w:pPr>
    </w:p>
    <w:p w14:paraId="759E85C0">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方正小标宋简体" w:hAnsi="方正小标宋简体" w:eastAsia="方正小标宋简体" w:cs="方正小标宋简体"/>
          <w:b w:val="0"/>
          <w:bCs w:val="0"/>
          <w:color w:val="auto"/>
          <w:sz w:val="28"/>
          <w:szCs w:val="28"/>
          <w:lang w:val="en-US"/>
        </w:rPr>
      </w:pPr>
      <w:bookmarkStart w:id="1" w:name="_Toc16690"/>
      <w:r>
        <w:rPr>
          <w:rFonts w:hint="eastAsia" w:ascii="方正小标宋简体" w:hAnsi="方正小标宋简体" w:eastAsia="方正小标宋简体" w:cs="方正小标宋简体"/>
          <w:b w:val="0"/>
          <w:bCs w:val="0"/>
          <w:color w:val="auto"/>
          <w:sz w:val="28"/>
          <w:szCs w:val="28"/>
          <w:lang w:val="en-US" w:eastAsia="zh-CN"/>
        </w:rPr>
        <w:t>那曲</w:t>
      </w:r>
      <w:r>
        <w:rPr>
          <w:rFonts w:hint="eastAsia" w:ascii="方正小标宋简体" w:hAnsi="方正小标宋简体" w:eastAsia="方正小标宋简体" w:cs="方正小标宋简体"/>
          <w:b w:val="0"/>
          <w:bCs w:val="0"/>
          <w:color w:val="auto"/>
          <w:sz w:val="28"/>
          <w:szCs w:val="28"/>
          <w:lang w:val="en-US"/>
        </w:rPr>
        <w:t>市民政局</w:t>
      </w:r>
      <w:bookmarkEnd w:id="1"/>
    </w:p>
    <w:p w14:paraId="1229DFC3">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eastAsia" w:ascii="方正小标宋简体" w:hAnsi="方正小标宋简体" w:eastAsia="方正小标宋简体" w:cs="方正小标宋简体"/>
          <w:b w:val="0"/>
          <w:bCs w:val="0"/>
          <w:color w:val="auto"/>
          <w:sz w:val="28"/>
          <w:szCs w:val="28"/>
          <w:lang w:val="en-US" w:eastAsia="zh-CN"/>
        </w:rPr>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pPr>
      <w:r>
        <w:rPr>
          <w:rFonts w:hint="eastAsia" w:ascii="Times New Roman" w:hAnsi="Times New Roman" w:eastAsia="方正小标宋简体" w:cs="Times New Roman"/>
          <w:b w:val="0"/>
          <w:bCs w:val="0"/>
          <w:color w:val="auto"/>
          <w:sz w:val="28"/>
          <w:szCs w:val="28"/>
          <w:lang w:val="en-US" w:eastAsia="zh-CN"/>
        </w:rPr>
        <w:t>2026</w:t>
      </w:r>
      <w:r>
        <w:rPr>
          <w:rFonts w:hint="eastAsia" w:ascii="方正小标宋简体" w:hAnsi="方正小标宋简体" w:eastAsia="方正小标宋简体" w:cs="方正小标宋简体"/>
          <w:b w:val="0"/>
          <w:bCs w:val="0"/>
          <w:color w:val="auto"/>
          <w:sz w:val="28"/>
          <w:szCs w:val="28"/>
          <w:lang w:val="en-US" w:eastAsia="zh-CN"/>
        </w:rPr>
        <w:t>年</w:t>
      </w:r>
      <w:r>
        <w:rPr>
          <w:rFonts w:hint="eastAsia" w:eastAsia="方正小标宋简体" w:cs="Times New Roman"/>
          <w:b w:val="0"/>
          <w:bCs w:val="0"/>
          <w:color w:val="auto"/>
          <w:sz w:val="28"/>
          <w:szCs w:val="28"/>
          <w:lang w:val="en-US" w:eastAsia="zh-CN"/>
        </w:rPr>
        <w:t>9</w:t>
      </w:r>
      <w:r>
        <w:rPr>
          <w:rFonts w:hint="eastAsia" w:ascii="方正小标宋简体" w:hAnsi="方正小标宋简体" w:eastAsia="方正小标宋简体" w:cs="方正小标宋简体"/>
          <w:b w:val="0"/>
          <w:bCs w:val="0"/>
          <w:color w:val="auto"/>
          <w:sz w:val="28"/>
          <w:szCs w:val="28"/>
          <w:lang w:val="en-US" w:eastAsia="zh-CN"/>
        </w:rPr>
        <w:t>月</w:t>
      </w:r>
    </w:p>
    <w:sdt>
      <w:sdtPr>
        <w:rPr>
          <w:rFonts w:hint="eastAsia" w:ascii="方正黑体简体" w:hAnsi="方正黑体简体" w:eastAsia="方正黑体简体" w:cs="方正黑体简体"/>
          <w:b/>
          <w:bCs w:val="0"/>
          <w:kern w:val="0"/>
          <w:sz w:val="32"/>
          <w:szCs w:val="32"/>
          <w:lang w:val="en-US" w:eastAsia="zh-CN"/>
        </w:rPr>
        <w:id w:val="147466405"/>
        <w15:color w:val="DBDBDB"/>
        <w:docPartObj>
          <w:docPartGallery w:val="Table of Contents"/>
          <w:docPartUnique/>
        </w:docPartObj>
      </w:sdtPr>
      <w:sdtEndPr>
        <w:rPr>
          <w:rFonts w:hint="eastAsia" w:ascii="方正仿宋简体" w:hAnsi="方正仿宋简体" w:eastAsia="方正仿宋简体" w:cs="方正仿宋简体"/>
          <w:b/>
          <w:bCs/>
          <w:color w:val="auto"/>
          <w:kern w:val="2"/>
          <w:sz w:val="28"/>
          <w:szCs w:val="32"/>
          <w:lang w:val="en-US" w:eastAsia="zh-CN" w:bidi="ar-SA"/>
        </w:rPr>
      </w:sdtEndPr>
      <w:sdtContent>
        <w:p w14:paraId="4F13544E">
          <w:pPr>
            <w:spacing w:before="0" w:beforeLines="0" w:after="0" w:afterLines="0" w:line="240" w:lineRule="auto"/>
            <w:ind w:left="0" w:leftChars="0" w:right="0" w:rightChars="0" w:firstLine="0" w:firstLineChars="0"/>
            <w:jc w:val="center"/>
            <w:rPr>
              <w:rFonts w:hint="eastAsia" w:ascii="方正黑体简体" w:hAnsi="方正黑体简体" w:eastAsia="方正黑体简体" w:cs="方正黑体简体"/>
              <w:b/>
              <w:bCs w:val="0"/>
              <w:kern w:val="0"/>
              <w:sz w:val="32"/>
              <w:szCs w:val="32"/>
              <w:lang w:val="en-US" w:eastAsia="zh-CN"/>
            </w:rPr>
          </w:pPr>
          <w:r>
            <w:rPr>
              <w:rFonts w:hint="eastAsia" w:ascii="方正黑体简体" w:hAnsi="方正黑体简体" w:eastAsia="方正黑体简体" w:cs="方正黑体简体"/>
              <w:b/>
              <w:bCs w:val="0"/>
              <w:kern w:val="0"/>
              <w:sz w:val="32"/>
              <w:szCs w:val="32"/>
              <w:lang w:val="en-US" w:eastAsia="zh-CN"/>
            </w:rPr>
            <w:t>目 录</w:t>
          </w:r>
        </w:p>
        <w:p w14:paraId="4BD747AD">
          <w:pPr>
            <w:pStyle w:val="27"/>
            <w:tabs>
              <w:tab w:val="right" w:leader="dot" w:pos="8845"/>
            </w:tabs>
            <w:rPr>
              <w:b/>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color w:val="auto"/>
              <w:sz w:val="32"/>
              <w:szCs w:val="32"/>
              <w:lang w:val="en-US" w:eastAsia="zh-CN"/>
            </w:rPr>
            <w:instrText xml:space="preserve">TOC \o "1-2" \h \u </w:instrText>
          </w:r>
          <w:r>
            <w:rPr>
              <w:rFonts w:hint="eastAsia" w:ascii="方正仿宋简体" w:hAnsi="方正仿宋简体" w:eastAsia="方正仿宋简体" w:cs="方正仿宋简体"/>
              <w:bCs/>
              <w:color w:val="auto"/>
              <w:sz w:val="32"/>
              <w:szCs w:val="32"/>
              <w:lang w:val="en-US" w:eastAsia="zh-CN"/>
            </w:rPr>
            <w:fldChar w:fldCharType="separate"/>
          </w:r>
        </w:p>
        <w:p w14:paraId="206C68EF">
          <w:pPr>
            <w:pStyle w:val="27"/>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b/>
              <w:sz w:val="32"/>
              <w:szCs w:val="32"/>
            </w:rPr>
          </w:pPr>
          <w:r>
            <w:rPr>
              <w:rFonts w:hint="eastAsia" w:ascii="方正仿宋简体" w:hAnsi="方正仿宋简体" w:eastAsia="方正仿宋简体" w:cs="方正仿宋简体"/>
              <w:b/>
              <w:bCs/>
              <w:color w:val="auto"/>
              <w:sz w:val="32"/>
              <w:szCs w:val="32"/>
              <w:lang w:val="en-US" w:eastAsia="zh-CN"/>
            </w:rPr>
            <w:fldChar w:fldCharType="begin"/>
          </w:r>
          <w:r>
            <w:rPr>
              <w:rFonts w:hint="eastAsia" w:ascii="方正仿宋简体" w:hAnsi="方正仿宋简体" w:eastAsia="方正仿宋简体" w:cs="方正仿宋简体"/>
              <w:b/>
              <w:bCs/>
              <w:sz w:val="32"/>
              <w:szCs w:val="32"/>
              <w:lang w:val="en-US" w:eastAsia="zh-CN"/>
            </w:rPr>
            <w:instrText xml:space="preserve"> HYPERLINK \l _Toc6505 </w:instrText>
          </w:r>
          <w:r>
            <w:rPr>
              <w:rFonts w:hint="eastAsia" w:ascii="方正仿宋简体" w:hAnsi="方正仿宋简体" w:eastAsia="方正仿宋简体" w:cs="方正仿宋简体"/>
              <w:b/>
              <w:bCs/>
              <w:sz w:val="32"/>
              <w:szCs w:val="32"/>
              <w:lang w:val="en-US" w:eastAsia="zh-CN"/>
            </w:rPr>
            <w:fldChar w:fldCharType="separate"/>
          </w:r>
          <w:r>
            <w:rPr>
              <w:rFonts w:hint="eastAsia" w:ascii="方正黑体简体" w:hAnsi="方正黑体简体" w:eastAsia="方正黑体简体" w:cs="方正黑体简体"/>
              <w:b/>
              <w:bCs w:val="0"/>
              <w:sz w:val="32"/>
              <w:szCs w:val="32"/>
              <w:lang w:val="en-US"/>
            </w:rPr>
            <w:t xml:space="preserve">第一章 </w:t>
          </w:r>
          <w:r>
            <w:rPr>
              <w:rFonts w:hint="eastAsia" w:ascii="方正黑体简体" w:hAnsi="方正黑体简体" w:eastAsia="方正黑体简体" w:cs="方正黑体简体"/>
              <w:b/>
              <w:bCs w:val="0"/>
              <w:sz w:val="32"/>
              <w:szCs w:val="32"/>
              <w:lang w:val="en-US" w:eastAsia="zh-CN"/>
            </w:rPr>
            <w:t>规划背景</w:t>
          </w:r>
          <w:r>
            <w:rPr>
              <w:b/>
              <w:sz w:val="32"/>
              <w:szCs w:val="32"/>
            </w:rPr>
            <w:tab/>
          </w:r>
          <w:r>
            <w:rPr>
              <w:b/>
              <w:sz w:val="32"/>
              <w:szCs w:val="32"/>
            </w:rPr>
            <w:fldChar w:fldCharType="begin"/>
          </w:r>
          <w:r>
            <w:rPr>
              <w:b/>
              <w:sz w:val="32"/>
              <w:szCs w:val="32"/>
            </w:rPr>
            <w:instrText xml:space="preserve"> PAGEREF _Toc6505 \h </w:instrText>
          </w:r>
          <w:r>
            <w:rPr>
              <w:b/>
              <w:sz w:val="32"/>
              <w:szCs w:val="32"/>
            </w:rPr>
            <w:fldChar w:fldCharType="separate"/>
          </w:r>
          <w:r>
            <w:rPr>
              <w:b/>
              <w:sz w:val="32"/>
              <w:szCs w:val="32"/>
            </w:rPr>
            <w:t>1</w:t>
          </w:r>
          <w:r>
            <w:rPr>
              <w:b/>
              <w:sz w:val="32"/>
              <w:szCs w:val="32"/>
            </w:rPr>
            <w:fldChar w:fldCharType="end"/>
          </w:r>
          <w:r>
            <w:rPr>
              <w:rFonts w:hint="eastAsia" w:ascii="方正仿宋简体" w:hAnsi="方正仿宋简体" w:eastAsia="方正仿宋简体" w:cs="方正仿宋简体"/>
              <w:b/>
              <w:bCs/>
              <w:color w:val="auto"/>
              <w:sz w:val="32"/>
              <w:szCs w:val="32"/>
              <w:lang w:val="en-US" w:eastAsia="zh-CN"/>
            </w:rPr>
            <w:fldChar w:fldCharType="end"/>
          </w:r>
        </w:p>
        <w:p w14:paraId="7285D7E5">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_Toc11841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val="0"/>
              <w:sz w:val="32"/>
              <w:szCs w:val="32"/>
              <w:lang w:val="en-US" w:eastAsia="zh-CN"/>
            </w:rPr>
            <w:t>第一节 “十四五”时期发展成效</w:t>
          </w:r>
          <w:r>
            <w:rPr>
              <w:sz w:val="32"/>
              <w:szCs w:val="32"/>
            </w:rPr>
            <w:tab/>
          </w:r>
          <w:r>
            <w:rPr>
              <w:sz w:val="32"/>
              <w:szCs w:val="32"/>
            </w:rPr>
            <w:fldChar w:fldCharType="begin"/>
          </w:r>
          <w:r>
            <w:rPr>
              <w:sz w:val="32"/>
              <w:szCs w:val="32"/>
            </w:rPr>
            <w:instrText xml:space="preserve"> PAGEREF _Toc11841 \h </w:instrText>
          </w:r>
          <w:r>
            <w:rPr>
              <w:sz w:val="32"/>
              <w:szCs w:val="32"/>
            </w:rPr>
            <w:fldChar w:fldCharType="separate"/>
          </w:r>
          <w:r>
            <w:rPr>
              <w:sz w:val="32"/>
              <w:szCs w:val="32"/>
            </w:rPr>
            <w:t>1</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6855D5BA">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_Toc30641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第二节 “十五五”时期发展机遇</w:t>
          </w:r>
          <w:r>
            <w:rPr>
              <w:sz w:val="32"/>
              <w:szCs w:val="32"/>
            </w:rPr>
            <w:tab/>
          </w:r>
          <w:r>
            <w:rPr>
              <w:sz w:val="32"/>
              <w:szCs w:val="32"/>
            </w:rPr>
            <w:fldChar w:fldCharType="begin"/>
          </w:r>
          <w:r>
            <w:rPr>
              <w:sz w:val="32"/>
              <w:szCs w:val="32"/>
            </w:rPr>
            <w:instrText xml:space="preserve"> PAGEREF _Toc30641 \h </w:instrText>
          </w:r>
          <w:r>
            <w:rPr>
              <w:sz w:val="32"/>
              <w:szCs w:val="32"/>
            </w:rPr>
            <w:fldChar w:fldCharType="separate"/>
          </w:r>
          <w:r>
            <w:rPr>
              <w:sz w:val="32"/>
              <w:szCs w:val="32"/>
            </w:rPr>
            <w:t>3</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095097B2">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_Toc8745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第三节 面临的挑战</w:t>
          </w:r>
          <w:r>
            <w:rPr>
              <w:sz w:val="32"/>
              <w:szCs w:val="32"/>
            </w:rPr>
            <w:tab/>
          </w:r>
          <w:r>
            <w:rPr>
              <w:sz w:val="32"/>
              <w:szCs w:val="32"/>
            </w:rPr>
            <w:fldChar w:fldCharType="begin"/>
          </w:r>
          <w:r>
            <w:rPr>
              <w:sz w:val="32"/>
              <w:szCs w:val="32"/>
            </w:rPr>
            <w:instrText xml:space="preserve"> PAGEREF _Toc8745 \h </w:instrText>
          </w:r>
          <w:r>
            <w:rPr>
              <w:sz w:val="32"/>
              <w:szCs w:val="32"/>
            </w:rPr>
            <w:fldChar w:fldCharType="separate"/>
          </w:r>
          <w:r>
            <w:rPr>
              <w:sz w:val="32"/>
              <w:szCs w:val="32"/>
            </w:rPr>
            <w:t>5</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1686D049">
          <w:pPr>
            <w:pStyle w:val="27"/>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b/>
              <w:sz w:val="32"/>
              <w:szCs w:val="32"/>
            </w:rPr>
          </w:pPr>
          <w:r>
            <w:rPr>
              <w:rFonts w:hint="eastAsia" w:ascii="方正仿宋简体" w:hAnsi="方正仿宋简体" w:eastAsia="方正仿宋简体" w:cs="方正仿宋简体"/>
              <w:b/>
              <w:bCs/>
              <w:color w:val="auto"/>
              <w:sz w:val="32"/>
              <w:szCs w:val="32"/>
              <w:lang w:val="en-US" w:eastAsia="zh-CN"/>
            </w:rPr>
            <w:fldChar w:fldCharType="begin"/>
          </w:r>
          <w:r>
            <w:rPr>
              <w:rFonts w:hint="eastAsia" w:ascii="方正仿宋简体" w:hAnsi="方正仿宋简体" w:eastAsia="方正仿宋简体" w:cs="方正仿宋简体"/>
              <w:b/>
              <w:bCs/>
              <w:sz w:val="32"/>
              <w:szCs w:val="32"/>
              <w:lang w:val="en-US" w:eastAsia="zh-CN"/>
            </w:rPr>
            <w:instrText xml:space="preserve"> HYPERLINK \l _Toc29273 </w:instrText>
          </w:r>
          <w:r>
            <w:rPr>
              <w:rFonts w:hint="eastAsia" w:ascii="方正仿宋简体" w:hAnsi="方正仿宋简体" w:eastAsia="方正仿宋简体" w:cs="方正仿宋简体"/>
              <w:b/>
              <w:bCs/>
              <w:sz w:val="32"/>
              <w:szCs w:val="32"/>
              <w:lang w:val="en-US" w:eastAsia="zh-CN"/>
            </w:rPr>
            <w:fldChar w:fldCharType="separate"/>
          </w:r>
          <w:r>
            <w:rPr>
              <w:rFonts w:hint="eastAsia" w:ascii="方正黑体简体" w:hAnsi="方正黑体简体" w:eastAsia="方正黑体简体" w:cs="方正黑体简体"/>
              <w:b/>
              <w:bCs w:val="0"/>
              <w:sz w:val="32"/>
              <w:szCs w:val="32"/>
              <w:lang w:val="en-US"/>
            </w:rPr>
            <w:t>第</w:t>
          </w:r>
          <w:r>
            <w:rPr>
              <w:rFonts w:hint="eastAsia" w:ascii="方正黑体简体" w:hAnsi="方正黑体简体" w:eastAsia="方正黑体简体" w:cs="方正黑体简体"/>
              <w:b/>
              <w:bCs w:val="0"/>
              <w:sz w:val="32"/>
              <w:szCs w:val="32"/>
              <w:lang w:val="en-US" w:eastAsia="zh-CN"/>
            </w:rPr>
            <w:t>二</w:t>
          </w:r>
          <w:r>
            <w:rPr>
              <w:rFonts w:hint="eastAsia" w:ascii="方正黑体简体" w:hAnsi="方正黑体简体" w:eastAsia="方正黑体简体" w:cs="方正黑体简体"/>
              <w:b/>
              <w:bCs w:val="0"/>
              <w:sz w:val="32"/>
              <w:szCs w:val="32"/>
              <w:lang w:val="en-US"/>
            </w:rPr>
            <w:t>章 总体要求</w:t>
          </w:r>
          <w:r>
            <w:rPr>
              <w:b/>
              <w:sz w:val="32"/>
              <w:szCs w:val="32"/>
            </w:rPr>
            <w:tab/>
          </w:r>
          <w:r>
            <w:rPr>
              <w:b/>
              <w:sz w:val="32"/>
              <w:szCs w:val="32"/>
            </w:rPr>
            <w:fldChar w:fldCharType="begin"/>
          </w:r>
          <w:r>
            <w:rPr>
              <w:b/>
              <w:sz w:val="32"/>
              <w:szCs w:val="32"/>
            </w:rPr>
            <w:instrText xml:space="preserve"> PAGEREF _Toc29273 \h </w:instrText>
          </w:r>
          <w:r>
            <w:rPr>
              <w:b/>
              <w:sz w:val="32"/>
              <w:szCs w:val="32"/>
            </w:rPr>
            <w:fldChar w:fldCharType="separate"/>
          </w:r>
          <w:r>
            <w:rPr>
              <w:b/>
              <w:sz w:val="32"/>
              <w:szCs w:val="32"/>
            </w:rPr>
            <w:t>8</w:t>
          </w:r>
          <w:r>
            <w:rPr>
              <w:b/>
              <w:sz w:val="32"/>
              <w:szCs w:val="32"/>
            </w:rPr>
            <w:fldChar w:fldCharType="end"/>
          </w:r>
          <w:r>
            <w:rPr>
              <w:rFonts w:hint="eastAsia" w:ascii="方正仿宋简体" w:hAnsi="方正仿宋简体" w:eastAsia="方正仿宋简体" w:cs="方正仿宋简体"/>
              <w:b/>
              <w:bCs/>
              <w:color w:val="auto"/>
              <w:sz w:val="32"/>
              <w:szCs w:val="32"/>
              <w:lang w:val="en-US" w:eastAsia="zh-CN"/>
            </w:rPr>
            <w:fldChar w:fldCharType="end"/>
          </w:r>
        </w:p>
        <w:p w14:paraId="3C48899A">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_Toc10033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val="0"/>
              <w:sz w:val="32"/>
              <w:szCs w:val="32"/>
              <w:lang w:val="en-US" w:eastAsia="zh-CN"/>
            </w:rPr>
            <w:t>第四节 指导思想</w:t>
          </w:r>
          <w:r>
            <w:rPr>
              <w:sz w:val="32"/>
              <w:szCs w:val="32"/>
            </w:rPr>
            <w:tab/>
          </w:r>
          <w:r>
            <w:rPr>
              <w:sz w:val="32"/>
              <w:szCs w:val="32"/>
            </w:rPr>
            <w:fldChar w:fldCharType="begin"/>
          </w:r>
          <w:r>
            <w:rPr>
              <w:sz w:val="32"/>
              <w:szCs w:val="32"/>
            </w:rPr>
            <w:instrText xml:space="preserve"> PAGEREF _Toc10033 \h </w:instrText>
          </w:r>
          <w:r>
            <w:rPr>
              <w:sz w:val="32"/>
              <w:szCs w:val="32"/>
            </w:rPr>
            <w:fldChar w:fldCharType="separate"/>
          </w:r>
          <w:r>
            <w:rPr>
              <w:sz w:val="32"/>
              <w:szCs w:val="32"/>
            </w:rPr>
            <w:t>8</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417AE58D">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_Toc7131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val="0"/>
              <w:sz w:val="32"/>
              <w:szCs w:val="32"/>
              <w:lang w:val="en-US" w:eastAsia="zh-CN"/>
            </w:rPr>
            <w:t>第五节 基本原则</w:t>
          </w:r>
          <w:r>
            <w:rPr>
              <w:sz w:val="32"/>
              <w:szCs w:val="32"/>
            </w:rPr>
            <w:tab/>
          </w:r>
          <w:r>
            <w:rPr>
              <w:sz w:val="32"/>
              <w:szCs w:val="32"/>
            </w:rPr>
            <w:fldChar w:fldCharType="begin"/>
          </w:r>
          <w:r>
            <w:rPr>
              <w:sz w:val="32"/>
              <w:szCs w:val="32"/>
            </w:rPr>
            <w:instrText xml:space="preserve"> PAGEREF _Toc7131 \h </w:instrText>
          </w:r>
          <w:r>
            <w:rPr>
              <w:sz w:val="32"/>
              <w:szCs w:val="32"/>
            </w:rPr>
            <w:fldChar w:fldCharType="separate"/>
          </w:r>
          <w:r>
            <w:rPr>
              <w:sz w:val="32"/>
              <w:szCs w:val="32"/>
            </w:rPr>
            <w:t>8</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0AA27312">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_Toc14840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第六节 发展目标</w:t>
          </w:r>
          <w:r>
            <w:rPr>
              <w:sz w:val="32"/>
              <w:szCs w:val="32"/>
            </w:rPr>
            <w:tab/>
          </w:r>
          <w:r>
            <w:rPr>
              <w:sz w:val="32"/>
              <w:szCs w:val="32"/>
            </w:rPr>
            <w:fldChar w:fldCharType="begin"/>
          </w:r>
          <w:r>
            <w:rPr>
              <w:sz w:val="32"/>
              <w:szCs w:val="32"/>
            </w:rPr>
            <w:instrText xml:space="preserve"> PAGEREF _Toc14840 \h </w:instrText>
          </w:r>
          <w:r>
            <w:rPr>
              <w:sz w:val="32"/>
              <w:szCs w:val="32"/>
            </w:rPr>
            <w:fldChar w:fldCharType="separate"/>
          </w:r>
          <w:r>
            <w:rPr>
              <w:sz w:val="32"/>
              <w:szCs w:val="32"/>
            </w:rPr>
            <w:t>9</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48F8B931">
          <w:pPr>
            <w:pStyle w:val="27"/>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b/>
              <w:sz w:val="32"/>
              <w:szCs w:val="32"/>
            </w:rPr>
          </w:pPr>
          <w:r>
            <w:rPr>
              <w:rFonts w:hint="eastAsia" w:ascii="方正仿宋简体" w:hAnsi="方正仿宋简体" w:eastAsia="方正仿宋简体" w:cs="方正仿宋简体"/>
              <w:b/>
              <w:bCs/>
              <w:color w:val="auto"/>
              <w:sz w:val="32"/>
              <w:szCs w:val="32"/>
              <w:lang w:val="en-US" w:eastAsia="zh-CN"/>
            </w:rPr>
            <w:fldChar w:fldCharType="begin"/>
          </w:r>
          <w:r>
            <w:rPr>
              <w:rFonts w:hint="eastAsia" w:ascii="方正仿宋简体" w:hAnsi="方正仿宋简体" w:eastAsia="方正仿宋简体" w:cs="方正仿宋简体"/>
              <w:b/>
              <w:bCs/>
              <w:sz w:val="32"/>
              <w:szCs w:val="32"/>
              <w:lang w:val="en-US" w:eastAsia="zh-CN"/>
            </w:rPr>
            <w:instrText xml:space="preserve"> HYPERLINK \l _Toc2624 </w:instrText>
          </w:r>
          <w:r>
            <w:rPr>
              <w:rFonts w:hint="eastAsia" w:ascii="方正仿宋简体" w:hAnsi="方正仿宋简体" w:eastAsia="方正仿宋简体" w:cs="方正仿宋简体"/>
              <w:b/>
              <w:bCs/>
              <w:sz w:val="32"/>
              <w:szCs w:val="32"/>
              <w:lang w:val="en-US" w:eastAsia="zh-CN"/>
            </w:rPr>
            <w:fldChar w:fldCharType="separate"/>
          </w:r>
          <w:r>
            <w:rPr>
              <w:rFonts w:hint="eastAsia" w:ascii="方正黑体简体" w:hAnsi="方正黑体简体" w:eastAsia="方正黑体简体" w:cs="方正黑体简体"/>
              <w:b/>
              <w:bCs w:val="0"/>
              <w:sz w:val="32"/>
              <w:szCs w:val="32"/>
              <w:lang w:val="en-US" w:eastAsia="zh-CN"/>
            </w:rPr>
            <w:t>第三章 主要任务</w:t>
          </w:r>
          <w:r>
            <w:rPr>
              <w:b/>
              <w:sz w:val="32"/>
              <w:szCs w:val="32"/>
            </w:rPr>
            <w:tab/>
          </w:r>
          <w:r>
            <w:rPr>
              <w:b/>
              <w:sz w:val="32"/>
              <w:szCs w:val="32"/>
            </w:rPr>
            <w:fldChar w:fldCharType="begin"/>
          </w:r>
          <w:r>
            <w:rPr>
              <w:b/>
              <w:sz w:val="32"/>
              <w:szCs w:val="32"/>
            </w:rPr>
            <w:instrText xml:space="preserve"> PAGEREF _Toc2624 \h </w:instrText>
          </w:r>
          <w:r>
            <w:rPr>
              <w:b/>
              <w:sz w:val="32"/>
              <w:szCs w:val="32"/>
            </w:rPr>
            <w:fldChar w:fldCharType="separate"/>
          </w:r>
          <w:r>
            <w:rPr>
              <w:b/>
              <w:sz w:val="32"/>
              <w:szCs w:val="32"/>
            </w:rPr>
            <w:t>13</w:t>
          </w:r>
          <w:r>
            <w:rPr>
              <w:b/>
              <w:sz w:val="32"/>
              <w:szCs w:val="32"/>
            </w:rPr>
            <w:fldChar w:fldCharType="end"/>
          </w:r>
          <w:r>
            <w:rPr>
              <w:rFonts w:hint="eastAsia" w:ascii="方正仿宋简体" w:hAnsi="方正仿宋简体" w:eastAsia="方正仿宋简体" w:cs="方正仿宋简体"/>
              <w:b/>
              <w:bCs/>
              <w:color w:val="auto"/>
              <w:sz w:val="32"/>
              <w:szCs w:val="32"/>
              <w:lang w:val="en-US" w:eastAsia="zh-CN"/>
            </w:rPr>
            <w:fldChar w:fldCharType="end"/>
          </w:r>
        </w:p>
        <w:p w14:paraId="73E9ECED">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_Toc31932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val="0"/>
              <w:sz w:val="32"/>
              <w:szCs w:val="32"/>
              <w:lang w:val="en-US" w:eastAsia="zh-CN"/>
            </w:rPr>
            <w:t>第七节 着力构建高原特色养老服务体系</w:t>
          </w:r>
          <w:r>
            <w:rPr>
              <w:sz w:val="32"/>
              <w:szCs w:val="32"/>
            </w:rPr>
            <w:tab/>
          </w:r>
          <w:r>
            <w:rPr>
              <w:sz w:val="32"/>
              <w:szCs w:val="32"/>
            </w:rPr>
            <w:fldChar w:fldCharType="begin"/>
          </w:r>
          <w:r>
            <w:rPr>
              <w:sz w:val="32"/>
              <w:szCs w:val="32"/>
            </w:rPr>
            <w:instrText xml:space="preserve"> PAGEREF _Toc31932 \h </w:instrText>
          </w:r>
          <w:r>
            <w:rPr>
              <w:sz w:val="32"/>
              <w:szCs w:val="32"/>
            </w:rPr>
            <w:fldChar w:fldCharType="separate"/>
          </w:r>
          <w:r>
            <w:rPr>
              <w:sz w:val="32"/>
              <w:szCs w:val="32"/>
            </w:rPr>
            <w:t>13</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51461E84">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_Toc2559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第八节 完善分层分类社会救助体系</w:t>
          </w:r>
          <w:r>
            <w:rPr>
              <w:sz w:val="32"/>
              <w:szCs w:val="32"/>
            </w:rPr>
            <w:tab/>
          </w:r>
          <w:r>
            <w:rPr>
              <w:sz w:val="32"/>
              <w:szCs w:val="32"/>
            </w:rPr>
            <w:fldChar w:fldCharType="begin"/>
          </w:r>
          <w:r>
            <w:rPr>
              <w:sz w:val="32"/>
              <w:szCs w:val="32"/>
            </w:rPr>
            <w:instrText xml:space="preserve"> PAGEREF _Toc2559 \h </w:instrText>
          </w:r>
          <w:r>
            <w:rPr>
              <w:sz w:val="32"/>
              <w:szCs w:val="32"/>
            </w:rPr>
            <w:fldChar w:fldCharType="separate"/>
          </w:r>
          <w:r>
            <w:rPr>
              <w:sz w:val="32"/>
              <w:szCs w:val="32"/>
            </w:rPr>
            <w:t>24</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542E75EB">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_Toc2381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第九节 优化儿童福利保障体系</w:t>
          </w:r>
          <w:r>
            <w:rPr>
              <w:sz w:val="32"/>
              <w:szCs w:val="32"/>
            </w:rPr>
            <w:tab/>
          </w:r>
          <w:r>
            <w:rPr>
              <w:sz w:val="32"/>
              <w:szCs w:val="32"/>
            </w:rPr>
            <w:fldChar w:fldCharType="begin"/>
          </w:r>
          <w:r>
            <w:rPr>
              <w:sz w:val="32"/>
              <w:szCs w:val="32"/>
            </w:rPr>
            <w:instrText xml:space="preserve"> PAGEREF _Toc2381 \h </w:instrText>
          </w:r>
          <w:r>
            <w:rPr>
              <w:sz w:val="32"/>
              <w:szCs w:val="32"/>
            </w:rPr>
            <w:fldChar w:fldCharType="separate"/>
          </w:r>
          <w:r>
            <w:rPr>
              <w:sz w:val="32"/>
              <w:szCs w:val="32"/>
            </w:rPr>
            <w:t>30</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6292A78C">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_Toc32556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第十节 健全残疾人社会保障体系</w:t>
          </w:r>
          <w:r>
            <w:rPr>
              <w:sz w:val="32"/>
              <w:szCs w:val="32"/>
            </w:rPr>
            <w:tab/>
          </w:r>
          <w:r>
            <w:rPr>
              <w:sz w:val="32"/>
              <w:szCs w:val="32"/>
            </w:rPr>
            <w:fldChar w:fldCharType="begin"/>
          </w:r>
          <w:r>
            <w:rPr>
              <w:sz w:val="32"/>
              <w:szCs w:val="32"/>
            </w:rPr>
            <w:instrText xml:space="preserve"> PAGEREF _Toc32556 \h </w:instrText>
          </w:r>
          <w:r>
            <w:rPr>
              <w:sz w:val="32"/>
              <w:szCs w:val="32"/>
            </w:rPr>
            <w:fldChar w:fldCharType="separate"/>
          </w:r>
          <w:r>
            <w:rPr>
              <w:sz w:val="32"/>
              <w:szCs w:val="32"/>
            </w:rPr>
            <w:t>33</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1259A8D6">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_Toc22902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第十一节 优化高原特色社会事务服务</w:t>
          </w:r>
          <w:r>
            <w:rPr>
              <w:sz w:val="32"/>
              <w:szCs w:val="32"/>
            </w:rPr>
            <w:tab/>
          </w:r>
          <w:r>
            <w:rPr>
              <w:sz w:val="32"/>
              <w:szCs w:val="32"/>
            </w:rPr>
            <w:fldChar w:fldCharType="begin"/>
          </w:r>
          <w:r>
            <w:rPr>
              <w:sz w:val="32"/>
              <w:szCs w:val="32"/>
            </w:rPr>
            <w:instrText xml:space="preserve"> PAGEREF _Toc22902 \h </w:instrText>
          </w:r>
          <w:r>
            <w:rPr>
              <w:sz w:val="32"/>
              <w:szCs w:val="32"/>
            </w:rPr>
            <w:fldChar w:fldCharType="separate"/>
          </w:r>
          <w:r>
            <w:rPr>
              <w:sz w:val="32"/>
              <w:szCs w:val="32"/>
            </w:rPr>
            <w:t>34</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0D2861CC">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_Toc11124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第十二节 促进社会组织全面发展</w:t>
          </w:r>
          <w:r>
            <w:rPr>
              <w:sz w:val="32"/>
              <w:szCs w:val="32"/>
            </w:rPr>
            <w:tab/>
          </w:r>
          <w:r>
            <w:rPr>
              <w:sz w:val="32"/>
              <w:szCs w:val="32"/>
            </w:rPr>
            <w:fldChar w:fldCharType="begin"/>
          </w:r>
          <w:r>
            <w:rPr>
              <w:sz w:val="32"/>
              <w:szCs w:val="32"/>
            </w:rPr>
            <w:instrText xml:space="preserve"> PAGEREF _Toc11124 \h </w:instrText>
          </w:r>
          <w:r>
            <w:rPr>
              <w:sz w:val="32"/>
              <w:szCs w:val="32"/>
            </w:rPr>
            <w:fldChar w:fldCharType="separate"/>
          </w:r>
          <w:r>
            <w:rPr>
              <w:sz w:val="32"/>
              <w:szCs w:val="32"/>
            </w:rPr>
            <w:t>37</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4DFA22DC">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_Toc45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第十三节 强化区划地名服务管理</w:t>
          </w:r>
          <w:r>
            <w:rPr>
              <w:sz w:val="32"/>
              <w:szCs w:val="32"/>
            </w:rPr>
            <w:tab/>
          </w:r>
          <w:r>
            <w:rPr>
              <w:sz w:val="32"/>
              <w:szCs w:val="32"/>
            </w:rPr>
            <w:fldChar w:fldCharType="begin"/>
          </w:r>
          <w:r>
            <w:rPr>
              <w:sz w:val="32"/>
              <w:szCs w:val="32"/>
            </w:rPr>
            <w:instrText xml:space="preserve"> PAGEREF _Toc45 \h </w:instrText>
          </w:r>
          <w:r>
            <w:rPr>
              <w:sz w:val="32"/>
              <w:szCs w:val="32"/>
            </w:rPr>
            <w:fldChar w:fldCharType="separate"/>
          </w:r>
          <w:r>
            <w:rPr>
              <w:sz w:val="32"/>
              <w:szCs w:val="32"/>
            </w:rPr>
            <w:t>40</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4ADEC6AC">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_Toc27456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第十四节 健全社会公益事业发展体系</w:t>
          </w:r>
          <w:r>
            <w:rPr>
              <w:sz w:val="32"/>
              <w:szCs w:val="32"/>
            </w:rPr>
            <w:tab/>
          </w:r>
          <w:r>
            <w:rPr>
              <w:sz w:val="32"/>
              <w:szCs w:val="32"/>
            </w:rPr>
            <w:fldChar w:fldCharType="begin"/>
          </w:r>
          <w:r>
            <w:rPr>
              <w:sz w:val="32"/>
              <w:szCs w:val="32"/>
            </w:rPr>
            <w:instrText xml:space="preserve"> PAGEREF _Toc27456 \h </w:instrText>
          </w:r>
          <w:r>
            <w:rPr>
              <w:sz w:val="32"/>
              <w:szCs w:val="32"/>
            </w:rPr>
            <w:fldChar w:fldCharType="separate"/>
          </w:r>
          <w:r>
            <w:rPr>
              <w:sz w:val="32"/>
              <w:szCs w:val="32"/>
            </w:rPr>
            <w:t>42</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2E20D0EA">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_Toc22799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第十五节 建立健全民政服务支撑体系</w:t>
          </w:r>
          <w:r>
            <w:rPr>
              <w:sz w:val="32"/>
              <w:szCs w:val="32"/>
            </w:rPr>
            <w:tab/>
          </w:r>
          <w:r>
            <w:rPr>
              <w:sz w:val="32"/>
              <w:szCs w:val="32"/>
            </w:rPr>
            <w:fldChar w:fldCharType="begin"/>
          </w:r>
          <w:r>
            <w:rPr>
              <w:sz w:val="32"/>
              <w:szCs w:val="32"/>
            </w:rPr>
            <w:instrText xml:space="preserve"> PAGEREF _Toc22799 \h </w:instrText>
          </w:r>
          <w:r>
            <w:rPr>
              <w:sz w:val="32"/>
              <w:szCs w:val="32"/>
            </w:rPr>
            <w:fldChar w:fldCharType="separate"/>
          </w:r>
          <w:r>
            <w:rPr>
              <w:sz w:val="32"/>
              <w:szCs w:val="32"/>
            </w:rPr>
            <w:t>45</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0862888C">
          <w:pPr>
            <w:pStyle w:val="27"/>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b/>
              <w:sz w:val="32"/>
              <w:szCs w:val="32"/>
            </w:rPr>
          </w:pPr>
          <w:r>
            <w:rPr>
              <w:rFonts w:hint="eastAsia" w:ascii="方正仿宋简体" w:hAnsi="方正仿宋简体" w:eastAsia="方正仿宋简体" w:cs="方正仿宋简体"/>
              <w:b/>
              <w:bCs/>
              <w:color w:val="auto"/>
              <w:sz w:val="32"/>
              <w:szCs w:val="32"/>
              <w:lang w:val="en-US" w:eastAsia="zh-CN"/>
            </w:rPr>
            <w:fldChar w:fldCharType="begin"/>
          </w:r>
          <w:r>
            <w:rPr>
              <w:rFonts w:hint="eastAsia" w:ascii="方正仿宋简体" w:hAnsi="方正仿宋简体" w:eastAsia="方正仿宋简体" w:cs="方正仿宋简体"/>
              <w:b/>
              <w:bCs/>
              <w:sz w:val="32"/>
              <w:szCs w:val="32"/>
              <w:lang w:val="en-US" w:eastAsia="zh-CN"/>
            </w:rPr>
            <w:instrText xml:space="preserve"> HYPERLINK \l _Toc2718 </w:instrText>
          </w:r>
          <w:r>
            <w:rPr>
              <w:rFonts w:hint="eastAsia" w:ascii="方正仿宋简体" w:hAnsi="方正仿宋简体" w:eastAsia="方正仿宋简体" w:cs="方正仿宋简体"/>
              <w:b/>
              <w:bCs/>
              <w:sz w:val="32"/>
              <w:szCs w:val="32"/>
              <w:lang w:val="en-US" w:eastAsia="zh-CN"/>
            </w:rPr>
            <w:fldChar w:fldCharType="separate"/>
          </w:r>
          <w:r>
            <w:rPr>
              <w:rFonts w:hint="eastAsia" w:ascii="方正黑体简体" w:hAnsi="方正黑体简体" w:eastAsia="方正黑体简体" w:cs="方正黑体简体"/>
              <w:b/>
              <w:bCs w:val="0"/>
              <w:sz w:val="32"/>
              <w:szCs w:val="32"/>
              <w:lang w:val="en-US"/>
            </w:rPr>
            <w:t>第</w:t>
          </w:r>
          <w:r>
            <w:rPr>
              <w:rFonts w:hint="eastAsia" w:ascii="方正黑体简体" w:hAnsi="方正黑体简体" w:eastAsia="方正黑体简体" w:cs="方正黑体简体"/>
              <w:b/>
              <w:bCs w:val="0"/>
              <w:sz w:val="32"/>
              <w:szCs w:val="32"/>
              <w:lang w:val="en-US" w:eastAsia="zh-CN"/>
            </w:rPr>
            <w:t>四</w:t>
          </w:r>
          <w:r>
            <w:rPr>
              <w:rFonts w:hint="eastAsia" w:ascii="方正黑体简体" w:hAnsi="方正黑体简体" w:eastAsia="方正黑体简体" w:cs="方正黑体简体"/>
              <w:b/>
              <w:bCs w:val="0"/>
              <w:sz w:val="32"/>
              <w:szCs w:val="32"/>
              <w:lang w:val="en-US"/>
            </w:rPr>
            <w:t>章 保障</w:t>
          </w:r>
          <w:r>
            <w:rPr>
              <w:rFonts w:hint="eastAsia" w:ascii="方正黑体简体" w:hAnsi="方正黑体简体" w:eastAsia="方正黑体简体" w:cs="方正黑体简体"/>
              <w:b/>
              <w:bCs w:val="0"/>
              <w:sz w:val="32"/>
              <w:szCs w:val="32"/>
              <w:lang w:val="en-US" w:eastAsia="zh-CN"/>
            </w:rPr>
            <w:t>措施</w:t>
          </w:r>
          <w:r>
            <w:rPr>
              <w:b/>
              <w:sz w:val="32"/>
              <w:szCs w:val="32"/>
            </w:rPr>
            <w:tab/>
          </w:r>
          <w:r>
            <w:rPr>
              <w:b/>
              <w:sz w:val="32"/>
              <w:szCs w:val="32"/>
            </w:rPr>
            <w:fldChar w:fldCharType="begin"/>
          </w:r>
          <w:r>
            <w:rPr>
              <w:b/>
              <w:sz w:val="32"/>
              <w:szCs w:val="32"/>
            </w:rPr>
            <w:instrText xml:space="preserve"> PAGEREF _Toc2718 \h </w:instrText>
          </w:r>
          <w:r>
            <w:rPr>
              <w:b/>
              <w:sz w:val="32"/>
              <w:szCs w:val="32"/>
            </w:rPr>
            <w:fldChar w:fldCharType="separate"/>
          </w:r>
          <w:r>
            <w:rPr>
              <w:b/>
              <w:sz w:val="32"/>
              <w:szCs w:val="32"/>
            </w:rPr>
            <w:t>48</w:t>
          </w:r>
          <w:r>
            <w:rPr>
              <w:b/>
              <w:sz w:val="32"/>
              <w:szCs w:val="32"/>
            </w:rPr>
            <w:fldChar w:fldCharType="end"/>
          </w:r>
          <w:r>
            <w:rPr>
              <w:rFonts w:hint="eastAsia" w:ascii="方正仿宋简体" w:hAnsi="方正仿宋简体" w:eastAsia="方正仿宋简体" w:cs="方正仿宋简体"/>
              <w:b/>
              <w:bCs/>
              <w:color w:val="auto"/>
              <w:sz w:val="32"/>
              <w:szCs w:val="32"/>
              <w:lang w:val="en-US" w:eastAsia="zh-CN"/>
            </w:rPr>
            <w:fldChar w:fldCharType="end"/>
          </w:r>
        </w:p>
        <w:p w14:paraId="725CB1A1">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_Toc30655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第十六节 加强党的全面领导</w:t>
          </w:r>
          <w:r>
            <w:rPr>
              <w:sz w:val="32"/>
              <w:szCs w:val="32"/>
            </w:rPr>
            <w:tab/>
          </w:r>
          <w:r>
            <w:rPr>
              <w:sz w:val="32"/>
              <w:szCs w:val="32"/>
            </w:rPr>
            <w:fldChar w:fldCharType="begin"/>
          </w:r>
          <w:r>
            <w:rPr>
              <w:sz w:val="32"/>
              <w:szCs w:val="32"/>
            </w:rPr>
            <w:instrText xml:space="preserve"> PAGEREF _Toc30655 \h </w:instrText>
          </w:r>
          <w:r>
            <w:rPr>
              <w:sz w:val="32"/>
              <w:szCs w:val="32"/>
            </w:rPr>
            <w:fldChar w:fldCharType="separate"/>
          </w:r>
          <w:r>
            <w:rPr>
              <w:sz w:val="32"/>
              <w:szCs w:val="32"/>
            </w:rPr>
            <w:t>48</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2A35C619">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_Toc28003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第十七节 强化规划实施要素保障</w:t>
          </w:r>
          <w:r>
            <w:rPr>
              <w:sz w:val="32"/>
              <w:szCs w:val="32"/>
            </w:rPr>
            <w:tab/>
          </w:r>
          <w:r>
            <w:rPr>
              <w:sz w:val="32"/>
              <w:szCs w:val="32"/>
            </w:rPr>
            <w:fldChar w:fldCharType="begin"/>
          </w:r>
          <w:r>
            <w:rPr>
              <w:sz w:val="32"/>
              <w:szCs w:val="32"/>
            </w:rPr>
            <w:instrText xml:space="preserve"> PAGEREF _Toc28003 \h </w:instrText>
          </w:r>
          <w:r>
            <w:rPr>
              <w:sz w:val="32"/>
              <w:szCs w:val="32"/>
            </w:rPr>
            <w:fldChar w:fldCharType="separate"/>
          </w:r>
          <w:r>
            <w:rPr>
              <w:sz w:val="32"/>
              <w:szCs w:val="32"/>
            </w:rPr>
            <w:t>48</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085BEBF2">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_Toc19988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第十八节 开展规划实施监测监督</w:t>
          </w:r>
          <w:r>
            <w:rPr>
              <w:sz w:val="32"/>
              <w:szCs w:val="32"/>
            </w:rPr>
            <w:tab/>
          </w:r>
          <w:r>
            <w:rPr>
              <w:sz w:val="32"/>
              <w:szCs w:val="32"/>
            </w:rPr>
            <w:fldChar w:fldCharType="begin"/>
          </w:r>
          <w:r>
            <w:rPr>
              <w:sz w:val="32"/>
              <w:szCs w:val="32"/>
            </w:rPr>
            <w:instrText xml:space="preserve"> PAGEREF _Toc19988 \h </w:instrText>
          </w:r>
          <w:r>
            <w:rPr>
              <w:sz w:val="32"/>
              <w:szCs w:val="32"/>
            </w:rPr>
            <w:fldChar w:fldCharType="separate"/>
          </w:r>
          <w:r>
            <w:rPr>
              <w:sz w:val="32"/>
              <w:szCs w:val="32"/>
            </w:rPr>
            <w:t>49</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4B7BA947">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_Toc15642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第十九节 提升民政基层服务保障能力</w:t>
          </w:r>
          <w:r>
            <w:rPr>
              <w:sz w:val="32"/>
              <w:szCs w:val="32"/>
            </w:rPr>
            <w:tab/>
          </w:r>
          <w:r>
            <w:rPr>
              <w:sz w:val="32"/>
              <w:szCs w:val="32"/>
            </w:rPr>
            <w:fldChar w:fldCharType="begin"/>
          </w:r>
          <w:r>
            <w:rPr>
              <w:sz w:val="32"/>
              <w:szCs w:val="32"/>
            </w:rPr>
            <w:instrText xml:space="preserve"> PAGEREF _Toc15642 \h </w:instrText>
          </w:r>
          <w:r>
            <w:rPr>
              <w:sz w:val="32"/>
              <w:szCs w:val="32"/>
            </w:rPr>
            <w:fldChar w:fldCharType="separate"/>
          </w:r>
          <w:r>
            <w:rPr>
              <w:sz w:val="32"/>
              <w:szCs w:val="32"/>
            </w:rPr>
            <w:t>50</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7421A121">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_Toc31465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第二十节 强化风险防范</w:t>
          </w:r>
          <w:r>
            <w:rPr>
              <w:sz w:val="32"/>
              <w:szCs w:val="32"/>
            </w:rPr>
            <w:tab/>
          </w:r>
          <w:r>
            <w:rPr>
              <w:sz w:val="32"/>
              <w:szCs w:val="32"/>
            </w:rPr>
            <w:fldChar w:fldCharType="begin"/>
          </w:r>
          <w:r>
            <w:rPr>
              <w:sz w:val="32"/>
              <w:szCs w:val="32"/>
            </w:rPr>
            <w:instrText xml:space="preserve"> PAGEREF _Toc31465 \h </w:instrText>
          </w:r>
          <w:r>
            <w:rPr>
              <w:sz w:val="32"/>
              <w:szCs w:val="32"/>
            </w:rPr>
            <w:fldChar w:fldCharType="separate"/>
          </w:r>
          <w:r>
            <w:rPr>
              <w:sz w:val="32"/>
              <w:szCs w:val="32"/>
            </w:rPr>
            <w:t>50</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7FB43DA2">
          <w:pPr>
            <w:pStyle w:val="28"/>
            <w:keepNext w:val="0"/>
            <w:keepLines w:val="0"/>
            <w:pageBreakBefore w:val="0"/>
            <w:widowControl/>
            <w:tabs>
              <w:tab w:val="right" w:leader="dot" w:pos="8845"/>
            </w:tabs>
            <w:kinsoku/>
            <w:wordWrap/>
            <w:overflowPunct/>
            <w:topLinePunct w:val="0"/>
            <w:autoSpaceDE/>
            <w:autoSpaceDN/>
            <w:bidi w:val="0"/>
            <w:adjustRightInd/>
            <w:snapToGrid/>
            <w:spacing w:line="576" w:lineRule="exact"/>
            <w:textAlignment w:val="auto"/>
            <w:rPr>
              <w:sz w:val="32"/>
              <w:szCs w:val="32"/>
            </w:rPr>
          </w:pPr>
          <w:r>
            <w:rPr>
              <w:rFonts w:hint="eastAsia" w:ascii="方正仿宋简体" w:hAnsi="方正仿宋简体" w:eastAsia="方正仿宋简体" w:cs="方正仿宋简体"/>
              <w:bCs/>
              <w:color w:val="auto"/>
              <w:sz w:val="32"/>
              <w:szCs w:val="32"/>
              <w:lang w:val="en-US" w:eastAsia="zh-CN"/>
            </w:rPr>
            <w:fldChar w:fldCharType="begin"/>
          </w:r>
          <w:r>
            <w:rPr>
              <w:rFonts w:hint="eastAsia" w:ascii="方正仿宋简体" w:hAnsi="方正仿宋简体" w:eastAsia="方正仿宋简体" w:cs="方正仿宋简体"/>
              <w:bCs/>
              <w:sz w:val="32"/>
              <w:szCs w:val="32"/>
              <w:lang w:val="en-US" w:eastAsia="zh-CN"/>
            </w:rPr>
            <w:instrText xml:space="preserve"> HYPERLINK \l _Toc9798 </w:instrText>
          </w:r>
          <w:r>
            <w:rPr>
              <w:rFonts w:hint="eastAsia" w:ascii="方正仿宋简体" w:hAnsi="方正仿宋简体" w:eastAsia="方正仿宋简体" w:cs="方正仿宋简体"/>
              <w:bCs/>
              <w:sz w:val="32"/>
              <w:szCs w:val="32"/>
              <w:lang w:val="en-US" w:eastAsia="zh-CN"/>
            </w:rPr>
            <w:fldChar w:fldCharType="separate"/>
          </w:r>
          <w:r>
            <w:rPr>
              <w:rFonts w:hint="eastAsia" w:ascii="方正楷体简体" w:hAnsi="方正楷体简体" w:eastAsia="方正楷体简体" w:cs="方正楷体简体"/>
              <w:bCs/>
              <w:sz w:val="32"/>
              <w:szCs w:val="32"/>
              <w:lang w:val="en-US" w:eastAsia="zh-CN"/>
            </w:rPr>
            <w:t>第二十一节 统筹用好援藏资源</w:t>
          </w:r>
          <w:r>
            <w:rPr>
              <w:sz w:val="32"/>
              <w:szCs w:val="32"/>
            </w:rPr>
            <w:tab/>
          </w:r>
          <w:r>
            <w:rPr>
              <w:sz w:val="32"/>
              <w:szCs w:val="32"/>
            </w:rPr>
            <w:fldChar w:fldCharType="begin"/>
          </w:r>
          <w:r>
            <w:rPr>
              <w:sz w:val="32"/>
              <w:szCs w:val="32"/>
            </w:rPr>
            <w:instrText xml:space="preserve"> PAGEREF _Toc9798 \h </w:instrText>
          </w:r>
          <w:r>
            <w:rPr>
              <w:sz w:val="32"/>
              <w:szCs w:val="32"/>
            </w:rPr>
            <w:fldChar w:fldCharType="separate"/>
          </w:r>
          <w:r>
            <w:rPr>
              <w:sz w:val="32"/>
              <w:szCs w:val="32"/>
            </w:rPr>
            <w:t>51</w:t>
          </w:r>
          <w:r>
            <w:rPr>
              <w:sz w:val="32"/>
              <w:szCs w:val="32"/>
            </w:rPr>
            <w:fldChar w:fldCharType="end"/>
          </w:r>
          <w:r>
            <w:rPr>
              <w:rFonts w:hint="eastAsia" w:ascii="方正仿宋简体" w:hAnsi="方正仿宋简体" w:eastAsia="方正仿宋简体" w:cs="方正仿宋简体"/>
              <w:bCs/>
              <w:color w:val="auto"/>
              <w:sz w:val="32"/>
              <w:szCs w:val="32"/>
              <w:lang w:val="en-US" w:eastAsia="zh-CN"/>
            </w:rPr>
            <w:fldChar w:fldCharType="end"/>
          </w:r>
        </w:p>
        <w:p w14:paraId="17551285">
          <w:pPr>
            <w:keepNext w:val="0"/>
            <w:keepLines w:val="0"/>
            <w:pageBreakBefore w:val="0"/>
            <w:widowControl w:val="0"/>
            <w:kinsoku/>
            <w:wordWrap/>
            <w:overflowPunct/>
            <w:topLinePunct w:val="0"/>
            <w:autoSpaceDE/>
            <w:autoSpaceDN/>
            <w:bidi w:val="0"/>
            <w:adjustRightInd/>
            <w:snapToGrid/>
            <w:spacing w:line="576" w:lineRule="exact"/>
            <w:ind w:firstLine="562" w:firstLineChars="200"/>
            <w:textAlignment w:val="auto"/>
            <w:rPr>
              <w:rFonts w:hint="eastAsia" w:ascii="方正仿宋简体" w:hAnsi="方正仿宋简体" w:eastAsia="方正仿宋简体" w:cs="方正仿宋简体"/>
              <w:bCs/>
              <w:color w:val="auto"/>
              <w:sz w:val="32"/>
              <w:szCs w:val="32"/>
              <w:lang w:val="en-US" w:eastAsia="zh-CN"/>
            </w:rPr>
            <w:sectPr>
              <w:headerReference r:id="rId5" w:type="default"/>
              <w:footerReference r:id="rId6" w:type="default"/>
              <w:pgSz w:w="11906" w:h="16838"/>
              <w:pgMar w:top="2098" w:right="1474" w:bottom="1984" w:left="1587" w:header="851" w:footer="992" w:gutter="0"/>
              <w:pgNumType w:fmt="decimal" w:start="1"/>
              <w:cols w:space="425" w:num="1"/>
              <w:docGrid w:type="lines" w:linePitch="312" w:charSpace="0"/>
            </w:sectPr>
          </w:pPr>
          <w:r>
            <w:rPr>
              <w:rFonts w:hint="eastAsia" w:ascii="方正仿宋简体" w:hAnsi="方正仿宋简体" w:eastAsia="方正仿宋简体" w:cs="方正仿宋简体"/>
              <w:b/>
              <w:bCs/>
              <w:color w:val="auto"/>
              <w:szCs w:val="32"/>
              <w:lang w:val="en-US" w:eastAsia="zh-CN"/>
            </w:rPr>
            <w:fldChar w:fldCharType="end"/>
          </w:r>
        </w:p>
      </w:sdtContent>
    </w:sdt>
    <w:p w14:paraId="4BF5FED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十五五”时期是为基本实现社会主义现代化夯实基础的关键时期，也是西藏长治久安和高质量发展的战略机遇期。为贯彻习近平总书记关于民政工作重要指示精神，落实中央、自治区和市委对民政工作的新要求，明确“十五五”时期那曲市民政事业发展思路、目标任务和保障措施，依据国家《“十五五”民政事业发展规划》《西藏自治区“十五五”民政事业发展规划》《那曲市国民经济和社会发展第十五个五年规划》，结合那曲实际，制定本规划。</w:t>
      </w:r>
    </w:p>
    <w:p w14:paraId="44E2FA3F">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0"/>
        <w:rPr>
          <w:rFonts w:hint="eastAsia" w:ascii="方正黑体简体" w:hAnsi="方正黑体简体" w:eastAsia="方正黑体简体" w:cs="方正黑体简体"/>
          <w:b w:val="0"/>
          <w:bCs w:val="0"/>
          <w:color w:val="auto"/>
          <w:sz w:val="32"/>
          <w:szCs w:val="32"/>
          <w:lang w:val="en-US" w:eastAsia="zh-CN"/>
        </w:rPr>
      </w:pPr>
      <w:bookmarkStart w:id="2" w:name="_Toc12782"/>
      <w:bookmarkStart w:id="3" w:name="_Toc6505"/>
      <w:r>
        <w:rPr>
          <w:rFonts w:hint="eastAsia" w:ascii="方正黑体简体" w:hAnsi="方正黑体简体" w:eastAsia="方正黑体简体" w:cs="方正黑体简体"/>
          <w:b w:val="0"/>
          <w:bCs w:val="0"/>
          <w:color w:val="auto"/>
          <w:sz w:val="32"/>
          <w:szCs w:val="32"/>
          <w:lang w:val="en-US"/>
        </w:rPr>
        <w:t xml:space="preserve">第一章 </w:t>
      </w:r>
      <w:r>
        <w:rPr>
          <w:rFonts w:hint="eastAsia" w:ascii="方正黑体简体" w:hAnsi="方正黑体简体" w:eastAsia="方正黑体简体" w:cs="方正黑体简体"/>
          <w:b w:val="0"/>
          <w:bCs w:val="0"/>
          <w:color w:val="auto"/>
          <w:sz w:val="32"/>
          <w:szCs w:val="32"/>
          <w:lang w:val="en-US" w:eastAsia="zh-CN"/>
        </w:rPr>
        <w:t>规划背景</w:t>
      </w:r>
      <w:bookmarkEnd w:id="2"/>
      <w:bookmarkEnd w:id="3"/>
    </w:p>
    <w:p w14:paraId="34BD2D12">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val="0"/>
          <w:color w:val="auto"/>
          <w:sz w:val="32"/>
          <w:szCs w:val="32"/>
          <w:lang w:val="en-US" w:eastAsia="zh-CN"/>
        </w:rPr>
      </w:pPr>
      <w:bookmarkStart w:id="4" w:name="_Toc11841"/>
      <w:bookmarkStart w:id="5" w:name="_Toc1357"/>
      <w:r>
        <w:rPr>
          <w:rFonts w:hint="eastAsia" w:ascii="方正楷体简体" w:hAnsi="方正楷体简体" w:eastAsia="方正楷体简体" w:cs="方正楷体简体"/>
          <w:b w:val="0"/>
          <w:bCs w:val="0"/>
          <w:color w:val="auto"/>
          <w:sz w:val="32"/>
          <w:szCs w:val="32"/>
          <w:lang w:val="en-US" w:eastAsia="zh-CN"/>
        </w:rPr>
        <w:t>第一节 “十四五”时期发展成效</w:t>
      </w:r>
      <w:bookmarkEnd w:id="4"/>
      <w:bookmarkEnd w:id="5"/>
    </w:p>
    <w:p w14:paraId="0693B051">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十四五”时期，那曲市民政事业深入贯彻新时代党的治藏方略，聚焦稳定、发展、生态、强边“四件大事”，以铸牢中华民族共同体意识为主线，以保障和改善民生为核心，扎实推进社会救助、养老服务、儿童福利、社会事务、慈善事业等工作，高质量发展成效显著。</w:t>
      </w:r>
    </w:p>
    <w:p w14:paraId="3C996FA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（1）社会救助兜底保障坚实有力，民生底线越织越密</w:t>
      </w:r>
    </w:p>
    <w:p w14:paraId="0F48617E">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城镇低保由每人每月</w:t>
      </w:r>
      <w:r>
        <w:rPr>
          <w:rFonts w:hint="eastAsia" w:ascii="Times New Roman" w:hAnsi="Times New Roman" w:eastAsia="方正小标宋简体" w:cs="Times New Roman"/>
          <w:b w:val="0"/>
          <w:bCs w:val="0"/>
          <w:color w:val="auto"/>
          <w:sz w:val="32"/>
          <w:szCs w:val="32"/>
          <w:lang w:val="en-US" w:eastAsia="zh-CN"/>
        </w:rPr>
        <w:t>920</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1087</w:t>
      </w:r>
      <w:r>
        <w:rPr>
          <w:rFonts w:hint="eastAsia" w:ascii="方正仿宋简体" w:hAnsi="方正仿宋简体" w:eastAsia="方正仿宋简体" w:cs="方正仿宋简体"/>
          <w:bCs/>
          <w:color w:val="auto"/>
          <w:sz w:val="32"/>
          <w:szCs w:val="32"/>
          <w:lang w:val="en-US" w:eastAsia="zh-CN"/>
        </w:rPr>
        <w:t>元，增幅</w:t>
      </w:r>
      <w:r>
        <w:rPr>
          <w:rFonts w:hint="eastAsia" w:ascii="Times New Roman" w:hAnsi="Times New Roman" w:eastAsia="方正小标宋简体" w:cs="Times New Roman"/>
          <w:b w:val="0"/>
          <w:bCs w:val="0"/>
          <w:color w:val="auto"/>
          <w:sz w:val="32"/>
          <w:szCs w:val="32"/>
          <w:lang w:val="en-US" w:eastAsia="zh-CN"/>
        </w:rPr>
        <w:t>18.15%</w:t>
      </w:r>
      <w:r>
        <w:rPr>
          <w:rFonts w:hint="eastAsia" w:ascii="方正仿宋简体" w:hAnsi="方正仿宋简体" w:eastAsia="方正仿宋简体" w:cs="方正仿宋简体"/>
          <w:bCs/>
          <w:color w:val="auto"/>
          <w:sz w:val="32"/>
          <w:szCs w:val="32"/>
          <w:lang w:val="en-US" w:eastAsia="zh-CN"/>
        </w:rPr>
        <w:t>；农村低保由每人每年</w:t>
      </w:r>
      <w:r>
        <w:rPr>
          <w:rFonts w:hint="eastAsia" w:ascii="Times New Roman" w:hAnsi="Times New Roman" w:eastAsia="方正小标宋简体" w:cs="Times New Roman"/>
          <w:b w:val="0"/>
          <w:bCs w:val="0"/>
          <w:color w:val="auto"/>
          <w:sz w:val="32"/>
          <w:szCs w:val="32"/>
          <w:lang w:val="en-US" w:eastAsia="zh-CN"/>
        </w:rPr>
        <w:t>5060</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5790</w:t>
      </w:r>
      <w:r>
        <w:rPr>
          <w:rFonts w:hint="eastAsia" w:ascii="方正仿宋简体" w:hAnsi="方正仿宋简体" w:eastAsia="方正仿宋简体" w:cs="方正仿宋简体"/>
          <w:bCs/>
          <w:color w:val="auto"/>
          <w:sz w:val="32"/>
          <w:szCs w:val="32"/>
          <w:lang w:val="en-US" w:eastAsia="zh-CN"/>
        </w:rPr>
        <w:t>元，增幅</w:t>
      </w:r>
      <w:r>
        <w:rPr>
          <w:rFonts w:hint="eastAsia" w:ascii="Times New Roman" w:hAnsi="Times New Roman" w:eastAsia="方正小标宋简体" w:cs="Times New Roman"/>
          <w:b w:val="0"/>
          <w:bCs w:val="0"/>
          <w:color w:val="auto"/>
          <w:sz w:val="32"/>
          <w:szCs w:val="32"/>
          <w:lang w:val="en-US" w:eastAsia="zh-CN"/>
        </w:rPr>
        <w:t>14.13%</w:t>
      </w:r>
      <w:r>
        <w:rPr>
          <w:rFonts w:hint="eastAsia" w:ascii="方正仿宋简体" w:hAnsi="方正仿宋简体" w:eastAsia="方正仿宋简体" w:cs="方正仿宋简体"/>
          <w:bCs/>
          <w:color w:val="auto"/>
          <w:sz w:val="32"/>
          <w:szCs w:val="32"/>
          <w:lang w:val="en-US" w:eastAsia="zh-CN"/>
        </w:rPr>
        <w:t>；特困集中供养及城市分散供养由每人每年</w:t>
      </w:r>
      <w:r>
        <w:rPr>
          <w:rFonts w:hint="eastAsia" w:ascii="Times New Roman" w:hAnsi="Times New Roman" w:eastAsia="方正小标宋简体" w:cs="Times New Roman"/>
          <w:b w:val="0"/>
          <w:bCs w:val="0"/>
          <w:color w:val="auto"/>
          <w:sz w:val="32"/>
          <w:szCs w:val="32"/>
          <w:lang w:val="en-US" w:eastAsia="zh-CN"/>
        </w:rPr>
        <w:t>14196</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16021</w:t>
      </w:r>
      <w:r>
        <w:rPr>
          <w:rFonts w:hint="eastAsia" w:ascii="方正仿宋简体" w:hAnsi="方正仿宋简体" w:eastAsia="方正仿宋简体" w:cs="方正仿宋简体"/>
          <w:bCs/>
          <w:color w:val="auto"/>
          <w:sz w:val="32"/>
          <w:szCs w:val="32"/>
          <w:lang w:val="en-US" w:eastAsia="zh-CN"/>
        </w:rPr>
        <w:t>元，增幅</w:t>
      </w:r>
      <w:r>
        <w:rPr>
          <w:rFonts w:hint="eastAsia" w:ascii="Times New Roman" w:hAnsi="Times New Roman" w:eastAsia="方正小标宋简体" w:cs="Times New Roman"/>
          <w:b w:val="0"/>
          <w:bCs w:val="0"/>
          <w:color w:val="auto"/>
          <w:sz w:val="32"/>
          <w:szCs w:val="32"/>
          <w:lang w:val="en-US" w:eastAsia="zh-CN"/>
        </w:rPr>
        <w:t>12.85%</w:t>
      </w:r>
      <w:r>
        <w:rPr>
          <w:rFonts w:hint="eastAsia" w:ascii="方正仿宋简体" w:hAnsi="方正仿宋简体" w:eastAsia="方正仿宋简体" w:cs="方正仿宋简体"/>
          <w:bCs/>
          <w:color w:val="auto"/>
          <w:sz w:val="32"/>
          <w:szCs w:val="32"/>
          <w:lang w:val="en-US" w:eastAsia="zh-CN"/>
        </w:rPr>
        <w:t>；农村特困分散供养由每人每年</w:t>
      </w:r>
      <w:r>
        <w:rPr>
          <w:rFonts w:hint="eastAsia" w:ascii="Times New Roman" w:hAnsi="Times New Roman" w:eastAsia="方正小标宋简体" w:cs="Times New Roman"/>
          <w:b w:val="0"/>
          <w:bCs w:val="0"/>
          <w:color w:val="auto"/>
          <w:sz w:val="32"/>
          <w:szCs w:val="32"/>
          <w:lang w:val="en-US" w:eastAsia="zh-CN"/>
        </w:rPr>
        <w:t>7590</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8684</w:t>
      </w:r>
      <w:r>
        <w:rPr>
          <w:rFonts w:hint="eastAsia" w:ascii="方正仿宋简体" w:hAnsi="方正仿宋简体" w:eastAsia="方正仿宋简体" w:cs="方正仿宋简体"/>
          <w:bCs/>
          <w:color w:val="auto"/>
          <w:sz w:val="32"/>
          <w:szCs w:val="32"/>
          <w:lang w:val="en-US" w:eastAsia="zh-CN"/>
        </w:rPr>
        <w:t>元，增幅</w:t>
      </w:r>
      <w:r>
        <w:rPr>
          <w:rFonts w:hint="eastAsia" w:ascii="Times New Roman" w:hAnsi="Times New Roman" w:eastAsia="方正小标宋简体" w:cs="Times New Roman"/>
          <w:b w:val="0"/>
          <w:bCs w:val="0"/>
          <w:color w:val="auto"/>
          <w:sz w:val="32"/>
          <w:szCs w:val="32"/>
          <w:lang w:val="en-US" w:eastAsia="zh-CN"/>
        </w:rPr>
        <w:t>14.41%</w:t>
      </w:r>
      <w:r>
        <w:rPr>
          <w:rFonts w:hint="eastAsia" w:ascii="方正仿宋简体" w:hAnsi="方正仿宋简体" w:eastAsia="方正仿宋简体" w:cs="方正仿宋简体"/>
          <w:bCs/>
          <w:color w:val="auto"/>
          <w:sz w:val="32"/>
          <w:szCs w:val="32"/>
          <w:lang w:val="en-US" w:eastAsia="zh-CN"/>
        </w:rPr>
        <w:t>；老年人“两项补贴”由每人每年</w:t>
      </w:r>
      <w:r>
        <w:rPr>
          <w:rFonts w:hint="eastAsia" w:ascii="Times New Roman" w:hAnsi="Times New Roman" w:eastAsia="方正小标宋简体" w:cs="Times New Roman"/>
          <w:b w:val="0"/>
          <w:bCs w:val="0"/>
          <w:color w:val="auto"/>
          <w:sz w:val="32"/>
          <w:szCs w:val="32"/>
          <w:lang w:val="en-US" w:eastAsia="zh-CN"/>
        </w:rPr>
        <w:t>600</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1200</w:t>
      </w:r>
      <w:r>
        <w:rPr>
          <w:rFonts w:hint="eastAsia" w:ascii="方正仿宋简体" w:hAnsi="方正仿宋简体" w:eastAsia="方正仿宋简体" w:cs="方正仿宋简体"/>
          <w:bCs/>
          <w:color w:val="auto"/>
          <w:sz w:val="32"/>
          <w:szCs w:val="32"/>
          <w:lang w:val="en-US" w:eastAsia="zh-CN"/>
        </w:rPr>
        <w:t>元，实现翻倍；孤儿和集中事实无人抚养儿童由每人每月</w:t>
      </w:r>
      <w:r>
        <w:rPr>
          <w:rFonts w:hint="eastAsia" w:ascii="Times New Roman" w:hAnsi="Times New Roman" w:eastAsia="方正小标宋简体" w:cs="Times New Roman"/>
          <w:b w:val="0"/>
          <w:bCs w:val="0"/>
          <w:color w:val="auto"/>
          <w:sz w:val="32"/>
          <w:szCs w:val="32"/>
          <w:lang w:val="en-US" w:eastAsia="zh-CN"/>
        </w:rPr>
        <w:t>1430</w:t>
      </w:r>
      <w:r>
        <w:rPr>
          <w:rFonts w:hint="eastAsia" w:ascii="方正仿宋简体" w:hAnsi="方正仿宋简体" w:eastAsia="方正仿宋简体" w:cs="方正仿宋简体"/>
          <w:bCs/>
          <w:color w:val="auto"/>
          <w:sz w:val="32"/>
          <w:szCs w:val="32"/>
          <w:lang w:val="en-US" w:eastAsia="zh-CN"/>
        </w:rPr>
        <w:t>元提至</w:t>
      </w:r>
      <w:r>
        <w:rPr>
          <w:rFonts w:hint="eastAsia" w:ascii="Times New Roman" w:hAnsi="Times New Roman" w:eastAsia="方正小标宋简体" w:cs="Times New Roman"/>
          <w:b w:val="0"/>
          <w:bCs w:val="0"/>
          <w:color w:val="auto"/>
          <w:sz w:val="32"/>
          <w:szCs w:val="32"/>
          <w:lang w:val="en-US" w:eastAsia="zh-CN"/>
        </w:rPr>
        <w:t>1982</w:t>
      </w:r>
      <w:r>
        <w:rPr>
          <w:rFonts w:hint="eastAsia" w:ascii="方正仿宋简体" w:hAnsi="方正仿宋简体" w:eastAsia="方正仿宋简体" w:cs="方正仿宋简体"/>
          <w:bCs/>
          <w:color w:val="auto"/>
          <w:sz w:val="32"/>
          <w:szCs w:val="32"/>
          <w:lang w:val="en-US" w:eastAsia="zh-CN"/>
        </w:rPr>
        <w:t>元，增幅</w:t>
      </w:r>
      <w:r>
        <w:rPr>
          <w:rFonts w:hint="eastAsia" w:ascii="Times New Roman" w:hAnsi="Times New Roman" w:eastAsia="方正小标宋简体" w:cs="Times New Roman"/>
          <w:b w:val="0"/>
          <w:bCs w:val="0"/>
          <w:color w:val="auto"/>
          <w:sz w:val="32"/>
          <w:szCs w:val="32"/>
          <w:lang w:val="en-US" w:eastAsia="zh-CN"/>
        </w:rPr>
        <w:t>38.6%</w:t>
      </w:r>
      <w:r>
        <w:rPr>
          <w:rFonts w:hint="eastAsia" w:ascii="方正仿宋简体" w:hAnsi="方正仿宋简体" w:eastAsia="方正仿宋简体" w:cs="方正仿宋简体"/>
          <w:bCs/>
          <w:color w:val="auto"/>
          <w:sz w:val="32"/>
          <w:szCs w:val="32"/>
          <w:lang w:val="en-US" w:eastAsia="zh-CN"/>
        </w:rPr>
        <w:t>；散居事实无人抚养儿童标准分别提高</w:t>
      </w:r>
      <w:r>
        <w:rPr>
          <w:rFonts w:hint="eastAsia" w:ascii="Times New Roman" w:hAnsi="Times New Roman" w:eastAsia="方正小标宋简体" w:cs="Times New Roman"/>
          <w:b w:val="0"/>
          <w:bCs w:val="0"/>
          <w:color w:val="auto"/>
          <w:sz w:val="32"/>
          <w:szCs w:val="32"/>
          <w:lang w:val="en-US" w:eastAsia="zh-CN"/>
        </w:rPr>
        <w:t>19.17%</w:t>
      </w:r>
      <w:r>
        <w:rPr>
          <w:rFonts w:hint="eastAsia" w:ascii="方正仿宋简体" w:hAnsi="方正仿宋简体" w:eastAsia="方正仿宋简体" w:cs="方正仿宋简体"/>
          <w:bCs/>
          <w:color w:val="auto"/>
          <w:sz w:val="32"/>
          <w:szCs w:val="32"/>
          <w:lang w:val="en-US" w:eastAsia="zh-CN"/>
        </w:rPr>
        <w:t>、</w:t>
      </w:r>
      <w:r>
        <w:rPr>
          <w:rFonts w:hint="eastAsia" w:ascii="Times New Roman" w:hAnsi="Times New Roman" w:eastAsia="方正小标宋简体" w:cs="Times New Roman"/>
          <w:b w:val="0"/>
          <w:bCs w:val="0"/>
          <w:color w:val="auto"/>
          <w:sz w:val="32"/>
          <w:szCs w:val="32"/>
          <w:lang w:val="en-US" w:eastAsia="zh-CN"/>
        </w:rPr>
        <w:t>19.26%</w:t>
      </w:r>
      <w:r>
        <w:rPr>
          <w:rFonts w:hint="eastAsia" w:ascii="方正仿宋简体" w:hAnsi="方正仿宋简体" w:eastAsia="方正仿宋简体" w:cs="方正仿宋简体"/>
          <w:bCs/>
          <w:color w:val="auto"/>
          <w:sz w:val="32"/>
          <w:szCs w:val="32"/>
          <w:lang w:val="en-US" w:eastAsia="zh-CN"/>
        </w:rPr>
        <w:t>。出台低保、特困供养实施细则，健全分层分类、城乡统筹的社会救助体系。建立低收入人口动态监测机制，推行“大数据比对+铁脚板摸排”，实现主动发现、精准救助。规范开展临时救助、经济状况核对、低收入家庭认定，推进“物质+服务”救助模式，落实乡镇备用金制度，发挥“救急难”作用，巩固拓展脱贫攻坚成果同乡村振兴有效衔接。</w:t>
      </w:r>
    </w:p>
    <w:p w14:paraId="6C34456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（2）养老服务体系提质升级，高原特色养老模式形成品牌</w:t>
      </w:r>
    </w:p>
    <w:p w14:paraId="24E066B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创新“养老服务+藏医理疗”融合模式，开通特困老人医疗报销结算、转诊“双绿色通道”，实现医养康复零支付，市老年护理院获评全国医养结合示范机构。建成那曲市拉萨特困集中供养中心，破解高海拔特困老人养老难题。完成养老机构星级评定，护理人员持证上岗率持续提升。</w:t>
      </w:r>
    </w:p>
    <w:p w14:paraId="09231AF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（3）“一老一小”关爱精准高效，特殊群体福祉持续增进</w:t>
      </w:r>
    </w:p>
    <w:p w14:paraId="07B3FB4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落实孤儿、事实无人抚养儿童基本生活、助学、医疗康复等政策，健全留守儿童、困境儿童监测关爱全链条机制。足额发放老年人“两项补贴”、高龄健康补贴，组织高海拔老人赴低海拔疗养并建立健康档案。</w:t>
      </w:r>
    </w:p>
    <w:p w14:paraId="0AC2DDB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（4）社会事务管理规范有序，基层治理效能不断提升</w:t>
      </w:r>
    </w:p>
    <w:p w14:paraId="777E783D">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市殡仪馆建成投运，落实惠民殡葬减免政策。婚姻登记全面实施全国通办，推进婚俗改革。常态化开展“寒冬送温暖”专项救助。连续举办十一届“四省区三州三市”边界民政工作研讨会，完成藏青线第四轮联检；推进“乡村著名”行动。</w:t>
      </w:r>
    </w:p>
    <w:p w14:paraId="04DD2DA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（5）社会组织与慈善事业健康发展，第三次分配作用有效发挥</w:t>
      </w:r>
    </w:p>
    <w:p w14:paraId="0BB84D3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严格社会组织登记、年检、评估制度，强化党建引领，引导参与抗震救灾、扶老助残、济困助学等公益行动。依法成立市慈善总会，对接区外慈善资源，慈善力量在民生保障中作用凸显。</w:t>
      </w:r>
    </w:p>
    <w:p w14:paraId="338B17C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（6）民政服务能力有效提升，事业发展根基更加稳固</w:t>
      </w:r>
    </w:p>
    <w:p w14:paraId="3F56673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通过跟班学习、技能培训提升干部职工服务能力。压实安全生产责任，常态化开展民政服务机构安全检查，完善隐患排查整改闭环机制，配置智能化安防设备，守住安全稳定底线。</w:t>
      </w:r>
    </w:p>
    <w:p w14:paraId="06BEAD1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（7）政治引领与作风建设持续深化，民政为民底色更加鲜明</w:t>
      </w:r>
    </w:p>
    <w:p w14:paraId="65757B14">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落实“第一议题”制度，强化理论武装，铸牢中华民族共同体意识。推进全面从严治党，开展群众身边不正之风和腐败问题专项整治，清退违规低保、追缴违规资金。精文减会、为基层减负，干部队伍担当作为、服务群众能力增强。</w:t>
      </w:r>
    </w:p>
    <w:p w14:paraId="4F48D267">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“十四五”时期，那曲民政事业在兜底保障、养老服务、“一老一小”关爱、社会事务、社会力量参与和自身建设等方面取得全方位进步，为全市长治久安和高质量发展作出了重要贡献。</w:t>
      </w:r>
    </w:p>
    <w:p w14:paraId="71504B28">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6" w:name="_Toc30641"/>
      <w:bookmarkStart w:id="7" w:name="_Toc4845"/>
      <w:r>
        <w:rPr>
          <w:rFonts w:hint="eastAsia" w:ascii="方正楷体简体" w:hAnsi="方正楷体简体" w:eastAsia="方正楷体简体" w:cs="方正楷体简体"/>
          <w:b w:val="0"/>
          <w:bCs/>
          <w:color w:val="auto"/>
          <w:sz w:val="32"/>
          <w:szCs w:val="32"/>
          <w:lang w:val="en-US" w:eastAsia="zh-CN"/>
        </w:rPr>
        <w:t>第二节 “十五五”时期发展机遇</w:t>
      </w:r>
      <w:bookmarkEnd w:id="6"/>
      <w:bookmarkEnd w:id="7"/>
    </w:p>
    <w:p w14:paraId="59DC70CC">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kern w:val="2"/>
          <w:sz w:val="32"/>
          <w:szCs w:val="32"/>
          <w:lang w:val="en-US" w:eastAsia="zh-CN" w:bidi="ar-SA"/>
        </w:rPr>
      </w:pPr>
      <w:r>
        <w:rPr>
          <w:rFonts w:hint="eastAsia" w:ascii="方正仿宋简体" w:hAnsi="方正仿宋简体" w:eastAsia="方正仿宋简体" w:cs="方正仿宋简体"/>
          <w:bCs/>
          <w:color w:val="auto"/>
          <w:kern w:val="2"/>
          <w:sz w:val="32"/>
          <w:szCs w:val="32"/>
          <w:lang w:val="en-US" w:eastAsia="zh-CN" w:bidi="ar-SA"/>
        </w:rPr>
        <w:t>“十五五”时期是那曲民政事业跨越发展的黄金窗口期。习近平总书记“民政工作是菩萨事业”的殷切嘱托，为民政事业高质量发展提供根本遵循。全市民政系统将对标国家及自治区“十五五”民政事业发展规划，以铸牢中华民族共同体意识为主线，聚焦保民生、兜底线、强基层、固边稳藏，推动资源向基层和牧区下沉，奋力谱写高质量发展新篇章。</w:t>
      </w:r>
    </w:p>
    <w:p w14:paraId="1B69A06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（8）国家战略叠加赋能，顶层政策红利持续释放</w:t>
      </w:r>
    </w:p>
    <w:p w14:paraId="2A03BC90">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新时代党的治藏方略、积极应对人口老龄化、乡村振兴、固边兴边富民等战略叠加实施，为边疆民族地区民政事业注入强劲动力。国家持续优化养老服务布局、健全分层分类社会救助、强化特殊群体保障。自治区锚定创建固边兴边富民行动示范区目标，2026年全区民政工作会议明确“四个重点、四个提升”任务，将民政业务纳入“十大民生工程”，加大高寒边境地区投入。</w:t>
      </w:r>
    </w:p>
    <w:p w14:paraId="5D6A7D4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（9）区域协作纵深拓展，对口支援聚力补齐短板</w:t>
      </w:r>
    </w:p>
    <w:p w14:paraId="33ADE25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浙江、辽宁等对口省市深化民政专项援助，民政部引导全国慈善力量聚焦社会救助、养老服务、儿童关爱、基层治理等领域帮扶。健全“四单对接”机制，推动援藏资源向牧区、薄弱环节下沉，完善养老、儿童福利设施，引入先进服务模式。健全跨部门联席会议制度，聚焦“一老一小”、社会救助、防返贫监测、基层治理等，破解服务碎片化难题。</w:t>
      </w:r>
    </w:p>
    <w:p w14:paraId="48105AA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（10）数字化转型全域深化，智慧民政迎来跨越窗口期</w:t>
      </w:r>
    </w:p>
    <w:p w14:paraId="367B22F6">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bCs/>
          <w:color w:val="auto"/>
          <w:sz w:val="32"/>
          <w:szCs w:val="32"/>
          <w:lang w:val="en-US" w:eastAsia="zh-CN"/>
        </w:rPr>
      </w:pPr>
      <w:r>
        <w:rPr>
          <w:rFonts w:hint="eastAsia" w:ascii="方正仿宋简体" w:hAnsi="方正仿宋简体" w:eastAsia="方正仿宋简体" w:cs="方正仿宋简体"/>
          <w:bCs/>
          <w:color w:val="auto"/>
          <w:sz w:val="32"/>
          <w:szCs w:val="32"/>
          <w:lang w:val="en-US" w:eastAsia="zh-CN"/>
        </w:rPr>
        <w:t>国家推进“高效办成一件事”改革，将社会救助、养老服务、残疾人补贴、婚姻登记等高频事项纳入全国集成服务。智慧养老、远程照护、救助数字化闭环、低收入人口动态监测等应用成熟，藏汉双语移动端服务适配高原牧区特点，破解地域广、办事难问题。中央对西藏信息化建设专项倾斜，新一轮援藏将智慧民政纳入规划，对口省市提供技术、系统、人才支持，为那曲补齐数字短板、建成适配高寒边境的智慧民政体系提供有利条件。</w:t>
      </w:r>
    </w:p>
    <w:p w14:paraId="252867D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（11）社会力量广泛参与，多元协同共治格局加速形成</w:t>
      </w:r>
    </w:p>
    <w:p w14:paraId="770C339F">
      <w:pPr>
        <w:keepNext w:val="0"/>
        <w:keepLines w:val="0"/>
        <w:pageBreakBefore w:val="0"/>
        <w:widowControl w:val="0"/>
        <w:kinsoku/>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bidi="ar-SA"/>
        </w:rPr>
      </w:pPr>
      <w:r>
        <w:rPr>
          <w:rFonts w:hint="eastAsia" w:ascii="方正仿宋简体" w:hAnsi="方正仿宋简体" w:eastAsia="方正仿宋简体" w:cs="方正仿宋简体"/>
          <w:bCs/>
          <w:color w:val="auto"/>
          <w:sz w:val="32"/>
          <w:szCs w:val="32"/>
          <w:lang w:val="en-US" w:eastAsia="zh-CN"/>
        </w:rPr>
        <w:t>国家完善社会力量参与制度保障，规范政府购买服务，扩大养老、儿童福利、基层治理等领域购买范围，优先支持社会组织承接兜底服务。自治区出台培育政策、设立专项基金，扶持本土公益社会组织，健全基层孵化体系，引导群众互助组织参与服务，构建多元保障格局。</w:t>
      </w:r>
    </w:p>
    <w:p w14:paraId="312245A4">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8" w:name="_Toc10439"/>
      <w:bookmarkStart w:id="9" w:name="_Toc8745"/>
      <w:r>
        <w:rPr>
          <w:rFonts w:hint="eastAsia" w:ascii="方正楷体简体" w:hAnsi="方正楷体简体" w:eastAsia="方正楷体简体" w:cs="方正楷体简体"/>
          <w:b w:val="0"/>
          <w:bCs/>
          <w:color w:val="auto"/>
          <w:sz w:val="32"/>
          <w:szCs w:val="32"/>
          <w:lang w:val="en-US" w:eastAsia="zh-CN"/>
        </w:rPr>
        <w:t>第三节 面临的挑战</w:t>
      </w:r>
      <w:bookmarkEnd w:id="8"/>
      <w:bookmarkEnd w:id="9"/>
    </w:p>
    <w:p w14:paraId="6E3447A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“十五五”时期，那曲民政事业发展仍处于攻坚克难的关键阶段，必须立足市情、聚焦短板，清醒认识并妥善应对以下挑战，加快破解瓶颈制约。</w:t>
      </w:r>
    </w:p>
    <w:p w14:paraId="62A3756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（12）普惠多元养老服务体系尚不健全</w:t>
      </w:r>
    </w:p>
    <w:p w14:paraId="2D96A3D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城乡养老服务网络不完善，居家、社区、机构供给不足，普惠覆盖不够。社会化养老力量薄弱，民办及公建民营机构起步艰难，群众机构养老接受度不高。多数日间照料中心、农村幸福院缺乏运行与人员经费，使用率偏低。从业人员年龄偏大、护理技能不足，行业吸引力不强。结合那曲海拔高、地域广、人口稀少特点，构建市县乡村四级服务网络任务紧迫。</w:t>
      </w:r>
    </w:p>
    <w:p w14:paraId="565D617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（13）分层分类社会救助体系有待完善</w:t>
      </w:r>
    </w:p>
    <w:p w14:paraId="5CF5AF5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救助精准度不足。家庭经济状况核查以自主申报、入户调查为主，多部门数据共享与动态监测不够，偏远地区信息滞后，存在错保、漏保风险。部门协同不足、政策衔接不畅，易出现重复救助或遗漏。救助模式单一，过度依赖资金救助，心理疏导、能力提升、就业支持等综合服务覆盖不足。救助标准与物价及教育医疗支出增长不相匹配，部分困难家庭基本生活保障仍有缺口。</w:t>
      </w:r>
    </w:p>
    <w:p w14:paraId="4C073C0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（14）儿童福利转型发展任务紧迫</w:t>
      </w:r>
    </w:p>
    <w:p w14:paraId="4DC198C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孤儿、弃婴数量大幅下降，留守儿童、困境儿童权益保障与心理健康服务需求快速上升，儿童福利需从特定群体向全体困境儿童拓展。基层关爱力量薄弱、专业人员不足，教育资助、医疗救助、康复服务等供给不足。儿童福利院入院人数持续下降，转型发展任务紧迫。</w:t>
      </w:r>
    </w:p>
    <w:p w14:paraId="04A88EB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（15）社会事务管理服务质效不高</w:t>
      </w:r>
    </w:p>
    <w:p w14:paraId="1F9CFB9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殡葬设施配套不足，殡仪馆与公益性公墓建设滞后。婚姻登记设施简陋、功能不全，偏远地区办事不便。流浪乞讨人员流动性大、救助难度高，机构设施不完善、服务内容单一，亟须提升规范化、专业化水平。</w:t>
      </w:r>
    </w:p>
    <w:p w14:paraId="6C1B7B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（16）区划地名管理基础薄弱</w:t>
      </w:r>
    </w:p>
    <w:p w14:paraId="03340D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地名标志设置与管护滞后，部分偏远及三江流域牧区标志缺失破损，经费不足。地名信息平台未全域覆盖，跨部门数据共享不足。群众界线意识不强，专业勘界人员短缺，精细化管理水平有待提升。</w:t>
      </w:r>
    </w:p>
    <w:p w14:paraId="3421020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（17）社会组织培育发展不足</w:t>
      </w:r>
    </w:p>
    <w:p w14:paraId="1C20B82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社会组织总量偏小、分布不均，养老、救助、儿童福利等民生领域供给不足。专业人才匮乏、治理不规范，政社合作机制不健全，参与基层治理的作用发挥不充分。</w:t>
      </w:r>
    </w:p>
    <w:p w14:paraId="1409A73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（18）智慧民政建设差距明显</w:t>
      </w:r>
    </w:p>
    <w:p w14:paraId="7423842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信息系统分散独立、数据标准不统一，跨业务共享不畅，“信息孤岛”问题突出。工作人员数字技能不足，服务渠道单一，移动端、自助终端等便捷服务供给不足。</w:t>
      </w:r>
    </w:p>
    <w:p w14:paraId="3C6C28F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全市民政系统胸怀“国之大者”，依托政策叠加、援藏赋能、民生刚需、治理升级多重机遇，持续补短板、强弱项、固根基、优服务，推动民政资源下沉牧区、服务延伸乡村、保障覆盖全域，加快构建高原特色的普惠性、基础性、兜底性民政服务体系，不断增进各族群众获得感、幸福感、安全感，奋力开启民政事业现代化建设新征程。</w:t>
      </w:r>
    </w:p>
    <w:p w14:paraId="267A3B08">
      <w:pPr>
        <w:keepNext w:val="0"/>
        <w:keepLines w:val="0"/>
        <w:pageBreakBefore w:val="0"/>
        <w:widowControl w:val="0"/>
        <w:kinsoku/>
        <w:overflowPunct/>
        <w:topLinePunct w:val="0"/>
        <w:autoSpaceDE/>
        <w:bidi w:val="0"/>
        <w:textAlignment w:val="auto"/>
        <w:rPr>
          <w:rFonts w:hint="eastAsia" w:ascii="方正黑体简体" w:hAnsi="方正黑体简体" w:eastAsia="方正黑体简体" w:cs="方正黑体简体"/>
          <w:b w:val="0"/>
          <w:bCs w:val="0"/>
          <w:color w:val="auto"/>
          <w:sz w:val="32"/>
          <w:szCs w:val="32"/>
          <w:lang w:val="en-US"/>
        </w:rPr>
      </w:pPr>
      <w:bookmarkStart w:id="10" w:name="_Toc16440"/>
      <w:bookmarkStart w:id="11" w:name="_Toc15657"/>
      <w:bookmarkStart w:id="12" w:name="_Toc21249"/>
      <w:bookmarkStart w:id="13" w:name="_Toc19566"/>
      <w:bookmarkStart w:id="14" w:name="_Toc20672"/>
      <w:bookmarkStart w:id="15" w:name="_Toc9942"/>
      <w:r>
        <w:rPr>
          <w:rFonts w:hint="eastAsia" w:ascii="方正黑体简体" w:hAnsi="方正黑体简体" w:eastAsia="方正黑体简体" w:cs="方正黑体简体"/>
          <w:b w:val="0"/>
          <w:bCs w:val="0"/>
          <w:color w:val="auto"/>
          <w:sz w:val="32"/>
          <w:szCs w:val="32"/>
          <w:lang w:val="en-US"/>
        </w:rPr>
        <w:br w:type="page"/>
      </w:r>
    </w:p>
    <w:p w14:paraId="1A24532B">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0"/>
        <w:rPr>
          <w:rFonts w:hint="eastAsia" w:ascii="方正黑体简体" w:hAnsi="方正黑体简体" w:eastAsia="方正黑体简体" w:cs="方正黑体简体"/>
          <w:b w:val="0"/>
          <w:bCs w:val="0"/>
          <w:color w:val="auto"/>
          <w:sz w:val="32"/>
          <w:szCs w:val="32"/>
          <w:lang w:val="en-US"/>
        </w:rPr>
      </w:pPr>
      <w:bookmarkStart w:id="16" w:name="_Toc29273"/>
      <w:bookmarkStart w:id="17" w:name="_Toc26939"/>
      <w:r>
        <w:rPr>
          <w:rFonts w:hint="eastAsia" w:ascii="方正黑体简体" w:hAnsi="方正黑体简体" w:eastAsia="方正黑体简体" w:cs="方正黑体简体"/>
          <w:b w:val="0"/>
          <w:bCs w:val="0"/>
          <w:color w:val="auto"/>
          <w:sz w:val="32"/>
          <w:szCs w:val="32"/>
          <w:lang w:val="en-US"/>
        </w:rPr>
        <w:t>第</w:t>
      </w:r>
      <w:r>
        <w:rPr>
          <w:rFonts w:hint="eastAsia" w:ascii="方正黑体简体" w:hAnsi="方正黑体简体" w:eastAsia="方正黑体简体" w:cs="方正黑体简体"/>
          <w:b w:val="0"/>
          <w:bCs w:val="0"/>
          <w:color w:val="auto"/>
          <w:sz w:val="32"/>
          <w:szCs w:val="32"/>
          <w:lang w:val="en-US" w:eastAsia="zh-CN"/>
        </w:rPr>
        <w:t>二</w:t>
      </w:r>
      <w:r>
        <w:rPr>
          <w:rFonts w:hint="eastAsia" w:ascii="方正黑体简体" w:hAnsi="方正黑体简体" w:eastAsia="方正黑体简体" w:cs="方正黑体简体"/>
          <w:b w:val="0"/>
          <w:bCs w:val="0"/>
          <w:color w:val="auto"/>
          <w:sz w:val="32"/>
          <w:szCs w:val="32"/>
          <w:lang w:val="en-US"/>
        </w:rPr>
        <w:t>章 总体要求</w:t>
      </w:r>
      <w:bookmarkEnd w:id="10"/>
      <w:bookmarkEnd w:id="11"/>
      <w:bookmarkEnd w:id="12"/>
      <w:bookmarkEnd w:id="16"/>
      <w:bookmarkEnd w:id="17"/>
    </w:p>
    <w:p w14:paraId="25AE4922">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val="0"/>
          <w:color w:val="auto"/>
          <w:sz w:val="32"/>
          <w:szCs w:val="32"/>
          <w:lang w:val="en-US" w:eastAsia="zh-CN"/>
        </w:rPr>
      </w:pPr>
      <w:bookmarkStart w:id="18" w:name="_Toc10033"/>
      <w:bookmarkStart w:id="19" w:name="_Toc10054"/>
      <w:r>
        <w:rPr>
          <w:rFonts w:hint="eastAsia" w:ascii="方正楷体简体" w:hAnsi="方正楷体简体" w:eastAsia="方正楷体简体" w:cs="方正楷体简体"/>
          <w:b w:val="0"/>
          <w:bCs w:val="0"/>
          <w:color w:val="auto"/>
          <w:sz w:val="32"/>
          <w:szCs w:val="32"/>
          <w:lang w:val="en-US" w:eastAsia="zh-CN"/>
        </w:rPr>
        <w:t>第四节 指导思想</w:t>
      </w:r>
      <w:bookmarkEnd w:id="13"/>
      <w:bookmarkEnd w:id="14"/>
      <w:bookmarkEnd w:id="15"/>
      <w:bookmarkEnd w:id="18"/>
      <w:bookmarkEnd w:id="19"/>
    </w:p>
    <w:p w14:paraId="7668BA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default"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（19）指导思想</w:t>
      </w:r>
    </w:p>
    <w:p w14:paraId="4A05B95F">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坚持以习近平新时代中国特色社会主义思想为指导，深入学习贯彻党的二十大和二十届历次全会精神，深入贯彻习近平总书记关于西藏工作的重要指示和新时代党的治藏方略，统筹推进“五位一体”总体布局，协调推进“四个全面”战略布局，牢牢把握那曲“西藏战略大后方”的历史方位，紧密结合“五地”建设。坚持党的领导，以民政事业高质量发展为主题，以满足人民美好生活需要为目标，深入践行以人民为中心的发展思想，紧紧围绕民政工作主责主业，更好履行基本民生保障、基层社会治理、基本社会服务职责，不断加强普惠性、基础性、兜底性民生建设，持续完善“四个体系”，坚定推进“两个着力”，坚持抓重点、补短板、强弱项，为建设铸牢中华民族共同体意识示范地、社会局势稳定的平安那曲、群众生活舒心的幸福那曲奠定坚实的民生基础，奋力谱写中国式现代化那曲民政事业高质量发展新篇章。</w:t>
      </w:r>
    </w:p>
    <w:p w14:paraId="3B40BFAF">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val="0"/>
          <w:color w:val="auto"/>
          <w:sz w:val="32"/>
          <w:szCs w:val="32"/>
          <w:lang w:val="en-US" w:eastAsia="zh-CN"/>
        </w:rPr>
      </w:pPr>
      <w:bookmarkStart w:id="20" w:name="_Toc7838"/>
      <w:bookmarkStart w:id="21" w:name="_Toc7131"/>
      <w:r>
        <w:rPr>
          <w:rFonts w:hint="eastAsia" w:ascii="方正楷体简体" w:hAnsi="方正楷体简体" w:eastAsia="方正楷体简体" w:cs="方正楷体简体"/>
          <w:b w:val="0"/>
          <w:bCs w:val="0"/>
          <w:color w:val="auto"/>
          <w:sz w:val="32"/>
          <w:szCs w:val="32"/>
          <w:lang w:val="en-US" w:eastAsia="zh-CN"/>
        </w:rPr>
        <w:t>第五节 基本原则</w:t>
      </w:r>
      <w:bookmarkEnd w:id="20"/>
      <w:bookmarkEnd w:id="21"/>
    </w:p>
    <w:p w14:paraId="47237F3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default" w:ascii="方正楷体简体" w:hAnsi="方正楷体简体" w:eastAsia="方正楷体简体" w:cs="方正楷体简体"/>
          <w:b w:val="0"/>
          <w:bCs w:val="0"/>
          <w:color w:val="auto"/>
          <w:sz w:val="32"/>
          <w:szCs w:val="32"/>
          <w:lang w:val="en-US" w:eastAsia="zh-CN"/>
        </w:rPr>
      </w:pPr>
      <w:bookmarkStart w:id="22" w:name="_Toc11750"/>
      <w:bookmarkStart w:id="23" w:name="_Toc20281"/>
      <w:bookmarkStart w:id="24" w:name="_Toc18507"/>
      <w:r>
        <w:rPr>
          <w:rFonts w:hint="eastAsia" w:ascii="方正楷体简体" w:hAnsi="方正楷体简体" w:eastAsia="方正楷体简体" w:cs="方正楷体简体"/>
          <w:b w:val="0"/>
          <w:bCs w:val="0"/>
          <w:color w:val="auto"/>
          <w:sz w:val="32"/>
          <w:szCs w:val="32"/>
          <w:lang w:val="en-US" w:eastAsia="zh-CN"/>
        </w:rPr>
        <w:t>（20）基本原则</w:t>
      </w:r>
    </w:p>
    <w:p w14:paraId="43F0B52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坚持党的全面领导，把党的领导贯穿民政事业改革发展全过程，确保民政工作始终沿着正确方向前进。坚持以人民为中心，把改善民生、凝聚人心作为出发点和落脚点，尽力而为、量力而行，兜住兜准兜牢基本民生底线。坚持民族团结，把铸牢中华民族共同体意识融入民政政策制定、服务供给和基层实践，促进各族群众交往交流交融。坚持改革创新，主动适应人口发展和群众需求变化，深化制度、机制和服务方式创新，探索符合高原边疆实际的民政发展路径。坚持底线思维，统筹发展和安全，强化风险监测、应急处置和资金服务监管，维护民政服务对象生命财产安全。坚持统筹协调，强化城乡统筹、区域协调、部门协同和社会参与，推动资源向基层、边境、高海拔地区和困难群众倾斜，提高民政服务均衡化、普惠化、可及化水平。</w:t>
      </w:r>
    </w:p>
    <w:p w14:paraId="6D0DEC71">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25" w:name="_Toc21792"/>
      <w:bookmarkStart w:id="26" w:name="_Toc14840"/>
      <w:r>
        <w:rPr>
          <w:rFonts w:hint="eastAsia" w:ascii="方正楷体简体" w:hAnsi="方正楷体简体" w:eastAsia="方正楷体简体" w:cs="方正楷体简体"/>
          <w:b w:val="0"/>
          <w:bCs/>
          <w:color w:val="auto"/>
          <w:sz w:val="32"/>
          <w:szCs w:val="32"/>
          <w:lang w:val="en-US" w:eastAsia="zh-CN"/>
        </w:rPr>
        <w:t>第六节 发展目标</w:t>
      </w:r>
      <w:bookmarkEnd w:id="22"/>
      <w:bookmarkEnd w:id="23"/>
      <w:bookmarkEnd w:id="24"/>
      <w:bookmarkEnd w:id="25"/>
      <w:bookmarkEnd w:id="26"/>
    </w:p>
    <w:p w14:paraId="2CA7AE9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default"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（21）发展目标</w:t>
      </w:r>
    </w:p>
    <w:p w14:paraId="4A83BCB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到</w:t>
      </w:r>
      <w:r>
        <w:rPr>
          <w:rFonts w:hint="eastAsia" w:ascii="Times New Roman" w:hAnsi="Times New Roman" w:eastAsia="方正小标宋简体" w:cs="Times New Roman"/>
          <w:b w:val="0"/>
          <w:bCs w:val="0"/>
          <w:color w:val="auto"/>
          <w:sz w:val="32"/>
          <w:szCs w:val="32"/>
          <w:lang w:val="en-US" w:eastAsia="zh-CN"/>
        </w:rPr>
        <w:t>2030</w:t>
      </w:r>
      <w:r>
        <w:rPr>
          <w:rFonts w:hint="eastAsia" w:ascii="方正仿宋简体" w:hAnsi="方正仿宋简体" w:eastAsia="方正仿宋简体" w:cs="方正仿宋简体"/>
          <w:color w:val="auto"/>
          <w:sz w:val="32"/>
          <w:szCs w:val="32"/>
          <w:lang w:val="en-US" w:eastAsia="zh-CN"/>
        </w:rPr>
        <w:t>年，“民政为民、民政爱民”理念深入人心，民政在社会建设中的兜底性、基础性作用充分彰显，服务与监管精准高效，响应群众诉求迅速快捷，体系健全、能力优良的现代化民政发展格局基本形成。主要发展目标如下：</w:t>
      </w:r>
    </w:p>
    <w:p w14:paraId="38B041C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——政策制度体系建设取得新成效。民政各业务领域法规、规章、规范性文件体系基本健全，兜底性、基础性、普惠性事业制度保障更加完善，民政工作迈入规范化、制度化、法治化轨道。</w:t>
      </w:r>
    </w:p>
    <w:p w14:paraId="27B8B4B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服务保障体系建设掀开新篇章。与人民美好生活需要相衔接的民政社会服务体系全面建立，慈善、婚姻、殡葬、养老等服务更加专业规范、便民利民，全市通办、全程网办成为标准配置。以基层为中心的发展格局基本形成，基层力量配备、设施建设、资金投入和信息化水平显著提高。</w:t>
      </w:r>
    </w:p>
    <w:p w14:paraId="74E1E78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监督管理体系建设取得新进展。跨部门综合监管机制健全，信用监管、“人工智能+监管”等方式创新完善，高水平民政执法队伍逐步形成。对社会救助、建设项目、资金使用等关键环节的内部监督全面加强。</w:t>
      </w:r>
    </w:p>
    <w:p w14:paraId="09A357E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——社会参与体系建设展现新气象。党建引领基层治理体制机制成熟定型，重心下移、资源下沉的街道社区管理体制全面建立，社会组织、志愿服务等多元主体参与机制更加健全。</w:t>
      </w:r>
    </w:p>
    <w:p w14:paraId="13F8585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——各项民政事业取得新成效：</w:t>
      </w:r>
    </w:p>
    <w:p w14:paraId="62A1A79F">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积极应对人口老龄化国家战略全面落实，覆盖城乡的养老服务体系更加完善。基本养老服务制度健全，以居家为基础、社区为依托、机构为支撑、医养相结合的供给不断优化，市、县、乡、村四级养老服务网络基本建成，服务能力和人才队伍水平显著提升，养老产业与银发经济体系基本完善。</w:t>
      </w:r>
    </w:p>
    <w:p w14:paraId="706B6B6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分层分类社会救助体系健全完善，从“物质保障”向“物质+服务”转型成效显著。城乡低保、特困供养、临时救助等制度完善，高海拔地区保障力度加强，应保尽保、精准施保基本实现。低收入人口动态监测和防止返贫致贫机制健全，政府救助与慈善帮扶衔接高效，社会力量参与更加有力。</w:t>
      </w:r>
    </w:p>
    <w:p w14:paraId="1DE1B45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社会福利从“基础兜底”向“普惠提升”转型。孤儿、事实无人抚养儿童基本生活保障标准稳步提高，儿童福利机构和未成年人保护体系完善，农村留守儿童和困境儿童关爱服务常态化长效化。残疾人“两项补贴”动态调整机制健全，关爱服务体系日益完善，残疾人基本生活和发展权利得到更有力保障。</w:t>
      </w:r>
    </w:p>
    <w:p w14:paraId="27C60D9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婚姻收养登记更加规范便捷，婚俗改革扎实推进，婚姻家庭辅导服务体系健全。殡葬管理体制健全，服务设施条件改善，惠民殡葬政策全面落实，绿色生态殡葬理念深入人心。</w:t>
      </w:r>
    </w:p>
    <w:p w14:paraId="767DEF0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社会组织健康有序发展，统一登记、依法监管体制全面建立，党组织作用发挥明显。慈善事业监管体制健全，行政区划设置优化，地名管理服务水平提升，地名文化遗产保护成效明显，福利彩票销售管理规范。</w:t>
      </w:r>
    </w:p>
    <w:p w14:paraId="63F126F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简体" w:hAnsi="方正仿宋简体" w:eastAsia="方正仿宋简体" w:cs="方正仿宋简体"/>
          <w:color w:val="auto"/>
          <w:kern w:val="0"/>
          <w:sz w:val="32"/>
          <w:szCs w:val="32"/>
          <w:lang w:val="en-US" w:eastAsia="zh-CN" w:bidi="ar"/>
        </w:rPr>
      </w:pPr>
      <w:r>
        <w:rPr>
          <w:rFonts w:hint="eastAsia" w:ascii="方正仿宋简体" w:hAnsi="方正仿宋简体" w:eastAsia="方正仿宋简体" w:cs="方正仿宋简体"/>
          <w:color w:val="auto"/>
          <w:kern w:val="0"/>
          <w:sz w:val="32"/>
          <w:szCs w:val="32"/>
          <w:lang w:val="en-US" w:eastAsia="zh-CN" w:bidi="ar"/>
        </w:rPr>
        <w:t>根据发展目标要求，设置“十五五”时期民政事业发展主要指标如下：</w:t>
      </w:r>
    </w:p>
    <w:p w14:paraId="4E7EC184">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仿宋简体" w:hAnsi="方正仿宋简体" w:eastAsia="方正仿宋简体" w:cs="方正仿宋简体"/>
          <w:bCs/>
          <w:color w:val="auto"/>
          <w:sz w:val="32"/>
          <w:szCs w:val="32"/>
        </w:rPr>
      </w:pPr>
      <w:r>
        <w:rPr>
          <w:rFonts w:hint="eastAsia" w:ascii="方正仿宋简体" w:hAnsi="方正仿宋简体" w:eastAsia="方正仿宋简体" w:cs="方正仿宋简体"/>
          <w:bCs/>
          <w:color w:val="auto"/>
          <w:sz w:val="32"/>
          <w:szCs w:val="32"/>
        </w:rPr>
        <w:t>“十</w:t>
      </w:r>
      <w:r>
        <w:rPr>
          <w:rFonts w:hint="eastAsia" w:ascii="方正仿宋简体" w:hAnsi="方正仿宋简体" w:eastAsia="方正仿宋简体" w:cs="方正仿宋简体"/>
          <w:bCs/>
          <w:color w:val="auto"/>
          <w:sz w:val="32"/>
          <w:szCs w:val="32"/>
          <w:lang w:val="en-US" w:eastAsia="zh-CN"/>
        </w:rPr>
        <w:t>五</w:t>
      </w:r>
      <w:r>
        <w:rPr>
          <w:rFonts w:hint="eastAsia" w:ascii="方正仿宋简体" w:hAnsi="方正仿宋简体" w:eastAsia="方正仿宋简体" w:cs="方正仿宋简体"/>
          <w:bCs/>
          <w:color w:val="auto"/>
          <w:sz w:val="32"/>
          <w:szCs w:val="32"/>
        </w:rPr>
        <w:t>五”时期</w:t>
      </w:r>
      <w:r>
        <w:rPr>
          <w:rFonts w:hint="eastAsia" w:ascii="方正仿宋简体" w:hAnsi="方正仿宋简体" w:eastAsia="方正仿宋简体" w:cs="方正仿宋简体"/>
          <w:bCs/>
          <w:color w:val="auto"/>
          <w:sz w:val="32"/>
          <w:szCs w:val="32"/>
          <w:lang w:val="en-US" w:eastAsia="zh-CN"/>
        </w:rPr>
        <w:t>那曲</w:t>
      </w:r>
      <w:r>
        <w:rPr>
          <w:rFonts w:hint="eastAsia" w:ascii="方正仿宋简体" w:hAnsi="方正仿宋简体" w:eastAsia="方正仿宋简体" w:cs="方正仿宋简体"/>
          <w:bCs/>
          <w:color w:val="auto"/>
          <w:sz w:val="32"/>
          <w:szCs w:val="32"/>
        </w:rPr>
        <w:t>市民政事业发展主要指标</w:t>
      </w:r>
    </w:p>
    <w:tbl>
      <w:tblPr>
        <w:tblStyle w:val="17"/>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2"/>
        <w:gridCol w:w="815"/>
        <w:gridCol w:w="637"/>
        <w:gridCol w:w="4016"/>
        <w:gridCol w:w="1230"/>
        <w:gridCol w:w="1261"/>
        <w:gridCol w:w="1144"/>
      </w:tblGrid>
      <w:tr w14:paraId="146A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blHeader/>
          <w:jc w:val="center"/>
        </w:trPr>
        <w:tc>
          <w:tcPr>
            <w:tcW w:w="1297" w:type="dxa"/>
            <w:gridSpan w:val="2"/>
            <w:noWrap w:val="0"/>
            <w:vAlign w:val="center"/>
          </w:tcPr>
          <w:p w14:paraId="6794000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rPr>
            </w:pPr>
            <w:bookmarkStart w:id="27" w:name="_Toc28721"/>
            <w:bookmarkStart w:id="28" w:name="_Toc12852"/>
            <w:bookmarkStart w:id="29" w:name="_Toc11473"/>
            <w:r>
              <w:rPr>
                <w:rFonts w:hint="eastAsia" w:ascii="方正仿宋简体" w:hAnsi="方正仿宋简体" w:eastAsia="方正仿宋简体" w:cs="方正仿宋简体"/>
                <w:b w:val="0"/>
                <w:bCs w:val="0"/>
                <w:color w:val="auto"/>
                <w:sz w:val="28"/>
                <w:szCs w:val="28"/>
              </w:rPr>
              <w:t>领域</w:t>
            </w:r>
          </w:p>
        </w:tc>
        <w:tc>
          <w:tcPr>
            <w:tcW w:w="637" w:type="dxa"/>
            <w:noWrap w:val="0"/>
            <w:vAlign w:val="center"/>
          </w:tcPr>
          <w:p w14:paraId="1371957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rPr>
            </w:pPr>
            <w:r>
              <w:rPr>
                <w:rFonts w:hint="eastAsia" w:ascii="方正仿宋简体" w:hAnsi="方正仿宋简体" w:eastAsia="方正仿宋简体" w:cs="方正仿宋简体"/>
                <w:b w:val="0"/>
                <w:bCs w:val="0"/>
                <w:color w:val="auto"/>
                <w:sz w:val="28"/>
                <w:szCs w:val="28"/>
              </w:rPr>
              <w:t>序号</w:t>
            </w:r>
          </w:p>
        </w:tc>
        <w:tc>
          <w:tcPr>
            <w:tcW w:w="4016" w:type="dxa"/>
            <w:noWrap w:val="0"/>
            <w:vAlign w:val="center"/>
          </w:tcPr>
          <w:p w14:paraId="21D1225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rPr>
            </w:pPr>
            <w:r>
              <w:rPr>
                <w:rFonts w:hint="eastAsia" w:ascii="方正仿宋简体" w:hAnsi="方正仿宋简体" w:eastAsia="方正仿宋简体" w:cs="方正仿宋简体"/>
                <w:b w:val="0"/>
                <w:bCs w:val="0"/>
                <w:color w:val="auto"/>
                <w:sz w:val="28"/>
                <w:szCs w:val="28"/>
              </w:rPr>
              <w:t>指标</w:t>
            </w:r>
          </w:p>
        </w:tc>
        <w:tc>
          <w:tcPr>
            <w:tcW w:w="1230" w:type="dxa"/>
            <w:noWrap w:val="0"/>
            <w:vAlign w:val="center"/>
          </w:tcPr>
          <w:p w14:paraId="186D4BE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rPr>
            </w:pPr>
            <w:r>
              <w:rPr>
                <w:rFonts w:hint="eastAsia" w:ascii="方正仿宋简体" w:hAnsi="方正仿宋简体" w:eastAsia="方正仿宋简体" w:cs="方正仿宋简体"/>
                <w:b w:val="0"/>
                <w:bCs w:val="0"/>
                <w:color w:val="auto"/>
                <w:sz w:val="28"/>
                <w:szCs w:val="28"/>
                <w:lang w:val="en-US" w:eastAsia="zh-CN"/>
              </w:rPr>
              <w:t>基准值</w:t>
            </w:r>
            <w:r>
              <w:rPr>
                <w:rFonts w:hint="eastAsia" w:ascii="Times New Roman" w:hAnsi="Times New Roman" w:eastAsia="方正仿宋简体" w:cs="Times New Roman"/>
                <w:b w:val="0"/>
                <w:bCs w:val="0"/>
                <w:i w:val="0"/>
                <w:iCs w:val="0"/>
                <w:caps w:val="0"/>
                <w:color w:val="auto"/>
                <w:spacing w:val="0"/>
                <w:kern w:val="0"/>
                <w:sz w:val="28"/>
                <w:szCs w:val="28"/>
                <w:shd w:val="clear" w:fill="FFFFFF"/>
                <w:lang w:val="en-US" w:eastAsia="zh-CN" w:bidi="ar-SA"/>
              </w:rPr>
              <w:t>2025</w:t>
            </w:r>
            <w:r>
              <w:rPr>
                <w:rFonts w:hint="eastAsia" w:ascii="方正仿宋简体" w:hAnsi="方正仿宋简体" w:eastAsia="方正仿宋简体" w:cs="方正仿宋简体"/>
                <w:b w:val="0"/>
                <w:bCs w:val="0"/>
                <w:color w:val="auto"/>
                <w:sz w:val="28"/>
                <w:szCs w:val="28"/>
              </w:rPr>
              <w:t>年</w:t>
            </w:r>
          </w:p>
        </w:tc>
        <w:tc>
          <w:tcPr>
            <w:tcW w:w="1261" w:type="dxa"/>
            <w:noWrap w:val="0"/>
            <w:vAlign w:val="center"/>
          </w:tcPr>
          <w:p w14:paraId="5E01F37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rPr>
            </w:pPr>
            <w:r>
              <w:rPr>
                <w:rFonts w:hint="eastAsia" w:ascii="方正仿宋简体" w:hAnsi="方正仿宋简体" w:eastAsia="方正仿宋简体" w:cs="方正仿宋简体"/>
                <w:b w:val="0"/>
                <w:bCs w:val="0"/>
                <w:color w:val="auto"/>
                <w:sz w:val="28"/>
                <w:szCs w:val="28"/>
                <w:lang w:val="en-US" w:eastAsia="zh-CN"/>
              </w:rPr>
              <w:t>目标值</w:t>
            </w:r>
            <w:r>
              <w:rPr>
                <w:rFonts w:hint="eastAsia" w:ascii="Times New Roman" w:hAnsi="Times New Roman" w:eastAsia="方正仿宋简体" w:cs="Times New Roman"/>
                <w:b w:val="0"/>
                <w:bCs w:val="0"/>
                <w:i w:val="0"/>
                <w:iCs w:val="0"/>
                <w:caps w:val="0"/>
                <w:color w:val="auto"/>
                <w:spacing w:val="0"/>
                <w:kern w:val="0"/>
                <w:sz w:val="28"/>
                <w:szCs w:val="28"/>
                <w:shd w:val="clear" w:fill="FFFFFF"/>
                <w:lang w:val="en-US" w:eastAsia="zh-CN" w:bidi="ar-SA"/>
              </w:rPr>
              <w:t>2030</w:t>
            </w:r>
            <w:r>
              <w:rPr>
                <w:rFonts w:hint="eastAsia" w:ascii="方正仿宋简体" w:hAnsi="方正仿宋简体" w:eastAsia="方正仿宋简体" w:cs="方正仿宋简体"/>
                <w:b w:val="0"/>
                <w:bCs w:val="0"/>
                <w:color w:val="auto"/>
                <w:sz w:val="28"/>
                <w:szCs w:val="28"/>
              </w:rPr>
              <w:t>年</w:t>
            </w:r>
          </w:p>
        </w:tc>
        <w:tc>
          <w:tcPr>
            <w:tcW w:w="1144" w:type="dxa"/>
            <w:noWrap w:val="0"/>
            <w:vAlign w:val="center"/>
          </w:tcPr>
          <w:p w14:paraId="6EFC36B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b w:val="0"/>
                <w:bCs w:val="0"/>
                <w:color w:val="auto"/>
                <w:sz w:val="28"/>
                <w:szCs w:val="28"/>
                <w:lang w:val="en-US" w:eastAsia="zh-CN"/>
              </w:rPr>
            </w:pPr>
            <w:r>
              <w:rPr>
                <w:rFonts w:hint="eastAsia" w:ascii="方正仿宋简体" w:hAnsi="方正仿宋简体" w:eastAsia="方正仿宋简体" w:cs="方正仿宋简体"/>
                <w:b w:val="0"/>
                <w:bCs w:val="0"/>
                <w:color w:val="auto"/>
                <w:sz w:val="28"/>
                <w:szCs w:val="28"/>
                <w:lang w:val="en-US" w:eastAsia="zh-CN"/>
              </w:rPr>
              <w:t>属性</w:t>
            </w:r>
          </w:p>
        </w:tc>
      </w:tr>
      <w:tr w14:paraId="2B53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restart"/>
            <w:noWrap w:val="0"/>
            <w:vAlign w:val="center"/>
          </w:tcPr>
          <w:p w14:paraId="7D05A1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基本民生保障</w:t>
            </w:r>
          </w:p>
        </w:tc>
        <w:tc>
          <w:tcPr>
            <w:tcW w:w="815" w:type="dxa"/>
            <w:vMerge w:val="restart"/>
            <w:noWrap w:val="0"/>
            <w:vAlign w:val="center"/>
          </w:tcPr>
          <w:p w14:paraId="75D1C51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社会</w:t>
            </w:r>
          </w:p>
          <w:p w14:paraId="6C4B476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救助</w:t>
            </w:r>
          </w:p>
        </w:tc>
        <w:tc>
          <w:tcPr>
            <w:tcW w:w="637" w:type="dxa"/>
            <w:shd w:val="clear" w:color="auto" w:fill="auto"/>
            <w:noWrap w:val="0"/>
            <w:vAlign w:val="center"/>
          </w:tcPr>
          <w:p w14:paraId="5C3668F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eastAsia" w:eastAsia="方正仿宋简体" w:cs="Times New Roman"/>
                <w:color w:val="auto"/>
                <w:sz w:val="28"/>
                <w:szCs w:val="28"/>
                <w:lang w:val="en-US" w:eastAsia="zh-CN"/>
              </w:rPr>
              <w:t>1</w:t>
            </w:r>
          </w:p>
        </w:tc>
        <w:tc>
          <w:tcPr>
            <w:tcW w:w="4016" w:type="dxa"/>
            <w:shd w:val="clear" w:color="auto" w:fill="auto"/>
            <w:noWrap w:val="0"/>
            <w:vAlign w:val="center"/>
          </w:tcPr>
          <w:p w14:paraId="4EE042FD">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低保标准占人均消费支出量化区间</w:t>
            </w:r>
          </w:p>
        </w:tc>
        <w:tc>
          <w:tcPr>
            <w:tcW w:w="1230" w:type="dxa"/>
            <w:shd w:val="clear" w:color="auto" w:fill="auto"/>
            <w:noWrap w:val="0"/>
            <w:vAlign w:val="center"/>
          </w:tcPr>
          <w:p w14:paraId="227F85E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城</w:t>
            </w: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40%</w:t>
            </w:r>
          </w:p>
          <w:p w14:paraId="03086D8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村</w:t>
            </w: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35%</w:t>
            </w:r>
          </w:p>
        </w:tc>
        <w:tc>
          <w:tcPr>
            <w:tcW w:w="1261" w:type="dxa"/>
            <w:shd w:val="clear" w:color="auto" w:fill="auto"/>
            <w:noWrap w:val="0"/>
            <w:vAlign w:val="center"/>
          </w:tcPr>
          <w:p w14:paraId="357466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城</w:t>
            </w:r>
            <w:r>
              <w:rPr>
                <w:rFonts w:hint="eastAsia" w:eastAsia="方正仿宋简体" w:cs="Times New Roman"/>
                <w:i w:val="0"/>
                <w:iCs w:val="0"/>
                <w:caps w:val="0"/>
                <w:color w:val="auto"/>
                <w:spacing w:val="0"/>
                <w:kern w:val="0"/>
                <w:sz w:val="28"/>
                <w:szCs w:val="28"/>
                <w:shd w:val="clear" w:fill="FFFFFF"/>
                <w:lang w:val="en-US" w:eastAsia="zh-CN" w:bidi="ar-SA"/>
              </w:rPr>
              <w:t>45</w:t>
            </w: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p>
          <w:p w14:paraId="1A67C75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村</w:t>
            </w:r>
            <w:r>
              <w:rPr>
                <w:rFonts w:hint="eastAsia" w:eastAsia="方正仿宋简体" w:cs="Times New Roman"/>
                <w:i w:val="0"/>
                <w:iCs w:val="0"/>
                <w:caps w:val="0"/>
                <w:color w:val="auto"/>
                <w:spacing w:val="0"/>
                <w:kern w:val="0"/>
                <w:sz w:val="28"/>
                <w:szCs w:val="28"/>
                <w:shd w:val="clear" w:fill="FFFFFF"/>
                <w:lang w:val="en-US" w:eastAsia="zh-CN" w:bidi="ar-SA"/>
              </w:rPr>
              <w:t>40</w:t>
            </w: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p>
        </w:tc>
        <w:tc>
          <w:tcPr>
            <w:tcW w:w="1144" w:type="dxa"/>
            <w:shd w:val="clear" w:color="auto" w:fill="auto"/>
            <w:noWrap w:val="0"/>
            <w:vAlign w:val="center"/>
          </w:tcPr>
          <w:p w14:paraId="6375512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预期性</w:t>
            </w:r>
          </w:p>
        </w:tc>
      </w:tr>
      <w:tr w14:paraId="1AF1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78896B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661343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2D03EA3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val="en-US" w:eastAsia="zh-CN"/>
              </w:rPr>
            </w:pPr>
            <w:r>
              <w:rPr>
                <w:rFonts w:hint="eastAsia" w:eastAsia="方正仿宋简体" w:cs="Times New Roman"/>
                <w:color w:val="auto"/>
                <w:sz w:val="28"/>
                <w:szCs w:val="28"/>
                <w:lang w:val="en-US" w:eastAsia="zh-CN"/>
              </w:rPr>
              <w:t>2</w:t>
            </w:r>
          </w:p>
        </w:tc>
        <w:tc>
          <w:tcPr>
            <w:tcW w:w="4016" w:type="dxa"/>
            <w:noWrap w:val="0"/>
            <w:vAlign w:val="center"/>
          </w:tcPr>
          <w:p w14:paraId="79BDB9CF">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农村低保标准占城市低保标准比例（%）</w:t>
            </w:r>
          </w:p>
        </w:tc>
        <w:tc>
          <w:tcPr>
            <w:tcW w:w="1230" w:type="dxa"/>
            <w:noWrap w:val="0"/>
            <w:vAlign w:val="center"/>
          </w:tcPr>
          <w:p w14:paraId="4AAB822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w:t>
            </w:r>
          </w:p>
        </w:tc>
        <w:tc>
          <w:tcPr>
            <w:tcW w:w="1261" w:type="dxa"/>
            <w:noWrap w:val="0"/>
            <w:vAlign w:val="center"/>
          </w:tcPr>
          <w:p w14:paraId="689AF95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50</w:t>
            </w:r>
          </w:p>
        </w:tc>
        <w:tc>
          <w:tcPr>
            <w:tcW w:w="1144" w:type="dxa"/>
            <w:noWrap w:val="0"/>
            <w:vAlign w:val="center"/>
          </w:tcPr>
          <w:p w14:paraId="750E66A9">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预期性</w:t>
            </w:r>
          </w:p>
        </w:tc>
      </w:tr>
      <w:tr w14:paraId="4DBC0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658021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754C0C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24AFC46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val="en-US" w:eastAsia="zh-CN"/>
              </w:rPr>
            </w:pPr>
            <w:r>
              <w:rPr>
                <w:rFonts w:hint="eastAsia" w:eastAsia="方正仿宋简体" w:cs="Times New Roman"/>
                <w:color w:val="auto"/>
                <w:sz w:val="28"/>
                <w:szCs w:val="28"/>
                <w:lang w:val="en-US" w:eastAsia="zh-CN"/>
              </w:rPr>
              <w:t>3</w:t>
            </w:r>
          </w:p>
        </w:tc>
        <w:tc>
          <w:tcPr>
            <w:tcW w:w="4016" w:type="dxa"/>
            <w:noWrap w:val="0"/>
            <w:vAlign w:val="center"/>
          </w:tcPr>
          <w:p w14:paraId="528D4B83">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低收入平台动态监测率（%）</w:t>
            </w:r>
          </w:p>
        </w:tc>
        <w:tc>
          <w:tcPr>
            <w:tcW w:w="1230" w:type="dxa"/>
            <w:noWrap w:val="0"/>
            <w:vAlign w:val="center"/>
          </w:tcPr>
          <w:p w14:paraId="1ACCD85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5.7</w:t>
            </w:r>
          </w:p>
        </w:tc>
        <w:tc>
          <w:tcPr>
            <w:tcW w:w="1261" w:type="dxa"/>
            <w:noWrap w:val="0"/>
            <w:vAlign w:val="center"/>
          </w:tcPr>
          <w:p w14:paraId="277043D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7</w:t>
            </w:r>
          </w:p>
        </w:tc>
        <w:tc>
          <w:tcPr>
            <w:tcW w:w="1144" w:type="dxa"/>
            <w:noWrap w:val="0"/>
            <w:vAlign w:val="center"/>
          </w:tcPr>
          <w:p w14:paraId="4EDBED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预期性</w:t>
            </w:r>
          </w:p>
        </w:tc>
      </w:tr>
      <w:tr w14:paraId="2103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blHeader/>
          <w:jc w:val="center"/>
        </w:trPr>
        <w:tc>
          <w:tcPr>
            <w:tcW w:w="482" w:type="dxa"/>
            <w:vMerge w:val="continue"/>
            <w:noWrap w:val="0"/>
            <w:vAlign w:val="center"/>
          </w:tcPr>
          <w:p w14:paraId="0E2C23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restart"/>
            <w:noWrap w:val="0"/>
            <w:vAlign w:val="center"/>
          </w:tcPr>
          <w:p w14:paraId="3CC0706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老龄和</w:t>
            </w:r>
            <w:r>
              <w:rPr>
                <w:rFonts w:hint="eastAsia" w:ascii="方正仿宋简体" w:hAnsi="方正仿宋简体" w:eastAsia="方正仿宋简体" w:cs="方正仿宋简体"/>
                <w:color w:val="auto"/>
                <w:sz w:val="28"/>
                <w:szCs w:val="28"/>
              </w:rPr>
              <w:t>养老服务</w:t>
            </w:r>
          </w:p>
        </w:tc>
        <w:tc>
          <w:tcPr>
            <w:tcW w:w="637" w:type="dxa"/>
            <w:noWrap w:val="0"/>
            <w:vAlign w:val="center"/>
          </w:tcPr>
          <w:p w14:paraId="2C742A4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eastAsia="zh-CN"/>
              </w:rPr>
            </w:pPr>
            <w:r>
              <w:rPr>
                <w:rFonts w:hint="eastAsia" w:eastAsia="方正仿宋简体" w:cs="Times New Roman"/>
                <w:color w:val="auto"/>
                <w:sz w:val="28"/>
                <w:szCs w:val="28"/>
                <w:lang w:val="en-US" w:eastAsia="zh-CN"/>
              </w:rPr>
              <w:t>4</w:t>
            </w:r>
          </w:p>
        </w:tc>
        <w:tc>
          <w:tcPr>
            <w:tcW w:w="4016" w:type="dxa"/>
            <w:noWrap w:val="0"/>
            <w:vAlign w:val="center"/>
          </w:tcPr>
          <w:p w14:paraId="238F88F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养老机构护理型床位占比（%）</w:t>
            </w:r>
          </w:p>
        </w:tc>
        <w:tc>
          <w:tcPr>
            <w:tcW w:w="1230" w:type="dxa"/>
            <w:noWrap w:val="0"/>
            <w:vAlign w:val="center"/>
          </w:tcPr>
          <w:p w14:paraId="0C5717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55</w:t>
            </w:r>
          </w:p>
        </w:tc>
        <w:tc>
          <w:tcPr>
            <w:tcW w:w="1261" w:type="dxa"/>
            <w:noWrap w:val="0"/>
            <w:vAlign w:val="center"/>
          </w:tcPr>
          <w:p w14:paraId="5C5E595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r>
              <w:rPr>
                <w:rFonts w:hint="eastAsia" w:eastAsia="方正仿宋简体" w:cs="Times New Roman"/>
                <w:i w:val="0"/>
                <w:iCs w:val="0"/>
                <w:caps w:val="0"/>
                <w:color w:val="auto"/>
                <w:spacing w:val="0"/>
                <w:kern w:val="0"/>
                <w:sz w:val="28"/>
                <w:szCs w:val="28"/>
                <w:shd w:val="clear" w:fill="FFFFFF"/>
                <w:lang w:val="en-US" w:eastAsia="zh-CN" w:bidi="ar-SA"/>
              </w:rPr>
              <w:t>73</w:t>
            </w:r>
          </w:p>
        </w:tc>
        <w:tc>
          <w:tcPr>
            <w:tcW w:w="1144" w:type="dxa"/>
            <w:noWrap w:val="0"/>
            <w:vAlign w:val="center"/>
          </w:tcPr>
          <w:p w14:paraId="7F9AA93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约束性</w:t>
            </w:r>
          </w:p>
        </w:tc>
      </w:tr>
      <w:tr w14:paraId="4A49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245A92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08CFD8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09A6B43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eastAsia="zh-CN"/>
              </w:rPr>
            </w:pPr>
            <w:r>
              <w:rPr>
                <w:rFonts w:hint="eastAsia" w:eastAsia="方正仿宋简体" w:cs="Times New Roman"/>
                <w:color w:val="auto"/>
                <w:sz w:val="28"/>
                <w:szCs w:val="28"/>
                <w:lang w:val="en-US" w:eastAsia="zh-CN"/>
              </w:rPr>
              <w:t>5</w:t>
            </w:r>
          </w:p>
        </w:tc>
        <w:tc>
          <w:tcPr>
            <w:tcW w:w="4016" w:type="dxa"/>
            <w:noWrap w:val="0"/>
            <w:vAlign w:val="center"/>
          </w:tcPr>
          <w:p w14:paraId="14FA518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建成运营街道乡镇</w:t>
            </w:r>
            <w:r>
              <w:rPr>
                <w:rFonts w:hint="eastAsia" w:ascii="方正仿宋简体" w:hAnsi="方正仿宋简体" w:eastAsia="方正仿宋简体" w:cs="方正仿宋简体"/>
                <w:color w:val="auto"/>
                <w:sz w:val="28"/>
                <w:szCs w:val="28"/>
                <w:lang w:val="en-US" w:eastAsia="zh-CN"/>
              </w:rPr>
              <w:t>日间</w:t>
            </w:r>
            <w:r>
              <w:rPr>
                <w:rFonts w:hint="eastAsia" w:ascii="方正仿宋简体" w:hAnsi="方正仿宋简体" w:eastAsia="方正仿宋简体" w:cs="方正仿宋简体"/>
                <w:color w:val="auto"/>
                <w:sz w:val="28"/>
                <w:szCs w:val="28"/>
              </w:rPr>
              <w:t>照料中心</w:t>
            </w:r>
            <w:r>
              <w:rPr>
                <w:rFonts w:hint="eastAsia" w:ascii="方正仿宋简体" w:hAnsi="方正仿宋简体" w:eastAsia="方正仿宋简体" w:cs="方正仿宋简体"/>
                <w:color w:val="auto"/>
                <w:sz w:val="28"/>
                <w:szCs w:val="28"/>
                <w:lang w:eastAsia="zh-CN"/>
              </w:rPr>
              <w:t>（</w:t>
            </w:r>
            <w:r>
              <w:rPr>
                <w:rFonts w:hint="eastAsia" w:ascii="方正仿宋简体" w:hAnsi="方正仿宋简体" w:eastAsia="方正仿宋简体" w:cs="方正仿宋简体"/>
                <w:color w:val="auto"/>
                <w:sz w:val="28"/>
                <w:szCs w:val="28"/>
                <w:lang w:val="en-US" w:eastAsia="zh-CN"/>
              </w:rPr>
              <w:t>含幸福院）</w:t>
            </w:r>
            <w:r>
              <w:rPr>
                <w:rFonts w:hint="eastAsia" w:ascii="方正仿宋简体" w:hAnsi="方正仿宋简体" w:eastAsia="方正仿宋简体" w:cs="方正仿宋简体"/>
                <w:color w:val="auto"/>
                <w:sz w:val="28"/>
                <w:szCs w:val="28"/>
              </w:rPr>
              <w:t>数量（家）</w:t>
            </w:r>
          </w:p>
        </w:tc>
        <w:tc>
          <w:tcPr>
            <w:tcW w:w="1230" w:type="dxa"/>
            <w:noWrap w:val="0"/>
            <w:vAlign w:val="center"/>
          </w:tcPr>
          <w:p w14:paraId="1C1B086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26</w:t>
            </w:r>
          </w:p>
        </w:tc>
        <w:tc>
          <w:tcPr>
            <w:tcW w:w="1261" w:type="dxa"/>
            <w:noWrap w:val="0"/>
            <w:vAlign w:val="center"/>
          </w:tcPr>
          <w:p w14:paraId="79B2DB6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41</w:t>
            </w:r>
          </w:p>
        </w:tc>
        <w:tc>
          <w:tcPr>
            <w:tcW w:w="1144" w:type="dxa"/>
            <w:noWrap w:val="0"/>
            <w:vAlign w:val="center"/>
          </w:tcPr>
          <w:p w14:paraId="019AC7D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预期性</w:t>
            </w:r>
          </w:p>
        </w:tc>
      </w:tr>
      <w:tr w14:paraId="079B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blHeader/>
          <w:jc w:val="center"/>
        </w:trPr>
        <w:tc>
          <w:tcPr>
            <w:tcW w:w="482" w:type="dxa"/>
            <w:vMerge w:val="continue"/>
            <w:noWrap w:val="0"/>
            <w:vAlign w:val="center"/>
          </w:tcPr>
          <w:p w14:paraId="6772EA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1ECC18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2E55CF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eastAsia="zh-CN"/>
              </w:rPr>
            </w:pPr>
            <w:r>
              <w:rPr>
                <w:rFonts w:hint="eastAsia" w:eastAsia="方正仿宋简体" w:cs="Times New Roman"/>
                <w:color w:val="auto"/>
                <w:sz w:val="28"/>
                <w:szCs w:val="28"/>
                <w:lang w:val="en-US" w:eastAsia="zh-CN"/>
              </w:rPr>
              <w:t>6</w:t>
            </w:r>
          </w:p>
        </w:tc>
        <w:tc>
          <w:tcPr>
            <w:tcW w:w="4016" w:type="dxa"/>
            <w:noWrap w:val="0"/>
            <w:vAlign w:val="center"/>
          </w:tcPr>
          <w:p w14:paraId="46F19C2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建成运营</w:t>
            </w:r>
            <w:r>
              <w:rPr>
                <w:rFonts w:hint="eastAsia" w:ascii="方正仿宋简体" w:hAnsi="方正仿宋简体" w:eastAsia="方正仿宋简体" w:cs="方正仿宋简体"/>
                <w:color w:val="auto"/>
                <w:sz w:val="28"/>
                <w:szCs w:val="28"/>
                <w:lang w:val="en-US" w:eastAsia="zh-CN"/>
              </w:rPr>
              <w:t>民办养老机构</w:t>
            </w:r>
            <w:r>
              <w:rPr>
                <w:rFonts w:hint="eastAsia" w:ascii="方正仿宋简体" w:hAnsi="方正仿宋简体" w:eastAsia="方正仿宋简体" w:cs="方正仿宋简体"/>
                <w:color w:val="auto"/>
                <w:sz w:val="28"/>
                <w:szCs w:val="28"/>
              </w:rPr>
              <w:t>（家）</w:t>
            </w:r>
          </w:p>
        </w:tc>
        <w:tc>
          <w:tcPr>
            <w:tcW w:w="1230" w:type="dxa"/>
            <w:noWrap w:val="0"/>
            <w:vAlign w:val="center"/>
          </w:tcPr>
          <w:p w14:paraId="24B5E7A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0</w:t>
            </w:r>
          </w:p>
        </w:tc>
        <w:tc>
          <w:tcPr>
            <w:tcW w:w="1261" w:type="dxa"/>
            <w:noWrap w:val="0"/>
            <w:vAlign w:val="center"/>
          </w:tcPr>
          <w:p w14:paraId="5858463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r>
              <w:rPr>
                <w:rFonts w:hint="eastAsia" w:eastAsia="方正仿宋简体" w:cs="Times New Roman"/>
                <w:i w:val="0"/>
                <w:iCs w:val="0"/>
                <w:caps w:val="0"/>
                <w:color w:val="auto"/>
                <w:spacing w:val="0"/>
                <w:kern w:val="0"/>
                <w:sz w:val="28"/>
                <w:szCs w:val="28"/>
                <w:shd w:val="clear" w:fill="FFFFFF"/>
                <w:lang w:val="en-US" w:eastAsia="zh-CN" w:bidi="ar-SA"/>
              </w:rPr>
              <w:t>2</w:t>
            </w:r>
          </w:p>
        </w:tc>
        <w:tc>
          <w:tcPr>
            <w:tcW w:w="1144" w:type="dxa"/>
            <w:noWrap w:val="0"/>
            <w:vAlign w:val="center"/>
          </w:tcPr>
          <w:p w14:paraId="368B77C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预期性</w:t>
            </w:r>
          </w:p>
        </w:tc>
      </w:tr>
      <w:tr w14:paraId="3CC3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09C0DA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70AD6D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657C4FE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val="en-US" w:eastAsia="zh-CN"/>
              </w:rPr>
            </w:pPr>
            <w:r>
              <w:rPr>
                <w:rFonts w:hint="eastAsia" w:eastAsia="方正仿宋简体" w:cs="Times New Roman"/>
                <w:color w:val="auto"/>
                <w:sz w:val="28"/>
                <w:szCs w:val="28"/>
                <w:lang w:val="en-US" w:eastAsia="zh-CN"/>
              </w:rPr>
              <w:t>7</w:t>
            </w:r>
          </w:p>
        </w:tc>
        <w:tc>
          <w:tcPr>
            <w:tcW w:w="4016" w:type="dxa"/>
            <w:noWrap w:val="0"/>
            <w:vAlign w:val="center"/>
          </w:tcPr>
          <w:p w14:paraId="7069661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养老机构内护理员持职业技能等级证书上岗率（%）</w:t>
            </w:r>
          </w:p>
        </w:tc>
        <w:tc>
          <w:tcPr>
            <w:tcW w:w="1230" w:type="dxa"/>
            <w:noWrap w:val="0"/>
            <w:vAlign w:val="center"/>
          </w:tcPr>
          <w:p w14:paraId="5E7C9A6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w:t>
            </w:r>
          </w:p>
        </w:tc>
        <w:tc>
          <w:tcPr>
            <w:tcW w:w="1261" w:type="dxa"/>
            <w:noWrap w:val="0"/>
            <w:vAlign w:val="center"/>
          </w:tcPr>
          <w:p w14:paraId="7AF34B5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90</w:t>
            </w:r>
          </w:p>
        </w:tc>
        <w:tc>
          <w:tcPr>
            <w:tcW w:w="1144" w:type="dxa"/>
            <w:noWrap w:val="0"/>
            <w:vAlign w:val="center"/>
          </w:tcPr>
          <w:p w14:paraId="7285E05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预期性</w:t>
            </w:r>
          </w:p>
        </w:tc>
      </w:tr>
      <w:tr w14:paraId="2A32B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6459E6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451004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noWrap w:val="0"/>
            <w:vAlign w:val="center"/>
          </w:tcPr>
          <w:p w14:paraId="0EC8C3B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eastAsia="zh-CN"/>
              </w:rPr>
            </w:pPr>
            <w:r>
              <w:rPr>
                <w:rFonts w:hint="eastAsia" w:eastAsia="方正仿宋简体" w:cs="Times New Roman"/>
                <w:color w:val="auto"/>
                <w:sz w:val="28"/>
                <w:szCs w:val="28"/>
                <w:lang w:val="en-US" w:eastAsia="zh-CN"/>
              </w:rPr>
              <w:t>8</w:t>
            </w:r>
          </w:p>
        </w:tc>
        <w:tc>
          <w:tcPr>
            <w:tcW w:w="4016" w:type="dxa"/>
            <w:noWrap w:val="0"/>
            <w:vAlign w:val="center"/>
          </w:tcPr>
          <w:p w14:paraId="77D7F61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特殊困难老年人居家适老化改造户</w:t>
            </w:r>
          </w:p>
        </w:tc>
        <w:tc>
          <w:tcPr>
            <w:tcW w:w="1230" w:type="dxa"/>
            <w:noWrap w:val="0"/>
            <w:vAlign w:val="center"/>
          </w:tcPr>
          <w:p w14:paraId="2EDE0BC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w:t>
            </w:r>
          </w:p>
        </w:tc>
        <w:tc>
          <w:tcPr>
            <w:tcW w:w="1261" w:type="dxa"/>
            <w:noWrap w:val="0"/>
            <w:vAlign w:val="center"/>
          </w:tcPr>
          <w:p w14:paraId="6A88A37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600</w:t>
            </w:r>
          </w:p>
        </w:tc>
        <w:tc>
          <w:tcPr>
            <w:tcW w:w="1144" w:type="dxa"/>
            <w:noWrap w:val="0"/>
            <w:vAlign w:val="center"/>
          </w:tcPr>
          <w:p w14:paraId="4D1E068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预期性</w:t>
            </w:r>
          </w:p>
        </w:tc>
      </w:tr>
      <w:tr w14:paraId="6F7A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62E65C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restart"/>
            <w:noWrap w:val="0"/>
            <w:vAlign w:val="center"/>
          </w:tcPr>
          <w:p w14:paraId="4305ED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残疾人福利</w:t>
            </w:r>
          </w:p>
        </w:tc>
        <w:tc>
          <w:tcPr>
            <w:tcW w:w="637" w:type="dxa"/>
            <w:shd w:val="clear" w:color="auto" w:fill="auto"/>
            <w:noWrap w:val="0"/>
            <w:vAlign w:val="center"/>
          </w:tcPr>
          <w:p w14:paraId="169F868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eastAsia" w:eastAsia="方正仿宋简体" w:cs="Times New Roman"/>
                <w:color w:val="auto"/>
                <w:sz w:val="28"/>
                <w:szCs w:val="28"/>
                <w:lang w:val="en-US" w:eastAsia="zh-CN"/>
              </w:rPr>
              <w:t>9</w:t>
            </w:r>
          </w:p>
        </w:tc>
        <w:tc>
          <w:tcPr>
            <w:tcW w:w="4016" w:type="dxa"/>
            <w:shd w:val="clear" w:color="auto" w:fill="auto"/>
            <w:noWrap w:val="0"/>
            <w:vAlign w:val="center"/>
          </w:tcPr>
          <w:p w14:paraId="644364D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残疾人两项补贴覆盖率（%）</w:t>
            </w:r>
          </w:p>
        </w:tc>
        <w:tc>
          <w:tcPr>
            <w:tcW w:w="1230" w:type="dxa"/>
            <w:shd w:val="clear" w:color="auto" w:fill="auto"/>
            <w:noWrap w:val="0"/>
            <w:vAlign w:val="center"/>
          </w:tcPr>
          <w:p w14:paraId="3B4979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100</w:t>
            </w:r>
          </w:p>
        </w:tc>
        <w:tc>
          <w:tcPr>
            <w:tcW w:w="1261" w:type="dxa"/>
            <w:shd w:val="clear" w:color="auto" w:fill="auto"/>
            <w:noWrap w:val="0"/>
            <w:vAlign w:val="center"/>
          </w:tcPr>
          <w:p w14:paraId="6BA3D3A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100</w:t>
            </w:r>
          </w:p>
        </w:tc>
        <w:tc>
          <w:tcPr>
            <w:tcW w:w="1144" w:type="dxa"/>
            <w:shd w:val="clear" w:color="auto" w:fill="auto"/>
            <w:noWrap w:val="0"/>
            <w:vAlign w:val="center"/>
          </w:tcPr>
          <w:p w14:paraId="04FC576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约束性</w:t>
            </w:r>
          </w:p>
        </w:tc>
      </w:tr>
      <w:tr w14:paraId="4149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7629F9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275451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shd w:val="clear" w:color="auto" w:fill="auto"/>
            <w:noWrap w:val="0"/>
            <w:vAlign w:val="center"/>
          </w:tcPr>
          <w:p w14:paraId="2E0D855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0</w:t>
            </w:r>
          </w:p>
        </w:tc>
        <w:tc>
          <w:tcPr>
            <w:tcW w:w="4016" w:type="dxa"/>
            <w:shd w:val="clear" w:color="auto" w:fill="auto"/>
            <w:noWrap w:val="0"/>
            <w:vAlign w:val="center"/>
          </w:tcPr>
          <w:p w14:paraId="67FA9FC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市</w:t>
            </w:r>
            <w:r>
              <w:rPr>
                <w:rFonts w:hint="eastAsia" w:ascii="方正仿宋简体" w:hAnsi="方正仿宋简体" w:eastAsia="方正仿宋简体" w:cs="方正仿宋简体"/>
                <w:color w:val="auto"/>
                <w:sz w:val="28"/>
                <w:szCs w:val="28"/>
              </w:rPr>
              <w:t>级精神卫生福利床位数（张）</w:t>
            </w:r>
          </w:p>
        </w:tc>
        <w:tc>
          <w:tcPr>
            <w:tcW w:w="1230" w:type="dxa"/>
            <w:shd w:val="clear" w:color="auto" w:fill="auto"/>
            <w:noWrap w:val="0"/>
            <w:vAlign w:val="center"/>
          </w:tcPr>
          <w:p w14:paraId="086041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0</w:t>
            </w:r>
          </w:p>
        </w:tc>
        <w:tc>
          <w:tcPr>
            <w:tcW w:w="1261" w:type="dxa"/>
            <w:shd w:val="clear" w:color="auto" w:fill="auto"/>
            <w:noWrap w:val="0"/>
            <w:vAlign w:val="center"/>
          </w:tcPr>
          <w:p w14:paraId="07ADB8F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50</w:t>
            </w:r>
          </w:p>
        </w:tc>
        <w:tc>
          <w:tcPr>
            <w:tcW w:w="1144" w:type="dxa"/>
            <w:shd w:val="clear" w:color="auto" w:fill="auto"/>
            <w:noWrap w:val="0"/>
            <w:vAlign w:val="center"/>
          </w:tcPr>
          <w:p w14:paraId="3F84403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lang w:val="en-US" w:eastAsia="zh-CN"/>
              </w:rPr>
              <w:t>预期性</w:t>
            </w:r>
          </w:p>
        </w:tc>
      </w:tr>
      <w:tr w14:paraId="2A9C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45D4BE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restart"/>
            <w:noWrap w:val="0"/>
            <w:vAlign w:val="center"/>
          </w:tcPr>
          <w:p w14:paraId="1AC917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儿童</w:t>
            </w:r>
          </w:p>
          <w:p w14:paraId="5F1652B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福利</w:t>
            </w:r>
          </w:p>
        </w:tc>
        <w:tc>
          <w:tcPr>
            <w:tcW w:w="637" w:type="dxa"/>
            <w:shd w:val="clear" w:color="auto" w:fill="auto"/>
            <w:noWrap w:val="0"/>
            <w:vAlign w:val="center"/>
          </w:tcPr>
          <w:p w14:paraId="3168C74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1</w:t>
            </w:r>
          </w:p>
        </w:tc>
        <w:tc>
          <w:tcPr>
            <w:tcW w:w="4016" w:type="dxa"/>
            <w:noWrap w:val="0"/>
            <w:vAlign w:val="center"/>
          </w:tcPr>
          <w:p w14:paraId="70BD084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孤儿、事实无人抚养儿童基本生活保障覆盖率（%）</w:t>
            </w:r>
          </w:p>
        </w:tc>
        <w:tc>
          <w:tcPr>
            <w:tcW w:w="1230" w:type="dxa"/>
            <w:noWrap w:val="0"/>
            <w:vAlign w:val="center"/>
          </w:tcPr>
          <w:p w14:paraId="17DF36D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100</w:t>
            </w:r>
          </w:p>
        </w:tc>
        <w:tc>
          <w:tcPr>
            <w:tcW w:w="1261" w:type="dxa"/>
            <w:noWrap w:val="0"/>
            <w:vAlign w:val="center"/>
          </w:tcPr>
          <w:p w14:paraId="6A5F0517">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100</w:t>
            </w:r>
          </w:p>
        </w:tc>
        <w:tc>
          <w:tcPr>
            <w:tcW w:w="1144" w:type="dxa"/>
            <w:noWrap w:val="0"/>
            <w:vAlign w:val="center"/>
          </w:tcPr>
          <w:p w14:paraId="50648F5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约束性</w:t>
            </w:r>
          </w:p>
        </w:tc>
      </w:tr>
      <w:tr w14:paraId="1F39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continue"/>
            <w:noWrap w:val="0"/>
            <w:vAlign w:val="center"/>
          </w:tcPr>
          <w:p w14:paraId="34C8BB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07B31C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shd w:val="clear" w:color="auto" w:fill="auto"/>
            <w:noWrap w:val="0"/>
            <w:vAlign w:val="center"/>
          </w:tcPr>
          <w:p w14:paraId="4DB32DD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2</w:t>
            </w:r>
          </w:p>
        </w:tc>
        <w:tc>
          <w:tcPr>
            <w:tcW w:w="4016" w:type="dxa"/>
            <w:shd w:val="clear" w:color="auto" w:fill="auto"/>
            <w:noWrap w:val="0"/>
            <w:vAlign w:val="center"/>
          </w:tcPr>
          <w:p w14:paraId="4858A36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儿童福利机构护理员持证上岗率（%）</w:t>
            </w:r>
          </w:p>
        </w:tc>
        <w:tc>
          <w:tcPr>
            <w:tcW w:w="1230" w:type="dxa"/>
            <w:shd w:val="clear" w:color="auto" w:fill="auto"/>
            <w:noWrap w:val="0"/>
            <w:vAlign w:val="center"/>
          </w:tcPr>
          <w:p w14:paraId="410759B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w:t>
            </w:r>
          </w:p>
        </w:tc>
        <w:tc>
          <w:tcPr>
            <w:tcW w:w="1261" w:type="dxa"/>
            <w:shd w:val="clear" w:color="auto" w:fill="auto"/>
            <w:noWrap w:val="0"/>
            <w:vAlign w:val="center"/>
          </w:tcPr>
          <w:p w14:paraId="3F2152D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100</w:t>
            </w:r>
          </w:p>
        </w:tc>
        <w:tc>
          <w:tcPr>
            <w:tcW w:w="1144" w:type="dxa"/>
            <w:shd w:val="clear" w:color="auto" w:fill="auto"/>
            <w:noWrap w:val="0"/>
            <w:vAlign w:val="center"/>
          </w:tcPr>
          <w:p w14:paraId="7E0D8B6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约束性</w:t>
            </w:r>
          </w:p>
        </w:tc>
      </w:tr>
      <w:tr w14:paraId="6EE7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82" w:type="dxa"/>
            <w:vMerge w:val="restart"/>
            <w:noWrap w:val="0"/>
            <w:vAlign w:val="center"/>
          </w:tcPr>
          <w:p w14:paraId="3B3724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基层社会治理</w:t>
            </w:r>
          </w:p>
        </w:tc>
        <w:tc>
          <w:tcPr>
            <w:tcW w:w="815" w:type="dxa"/>
            <w:noWrap w:val="0"/>
            <w:vAlign w:val="center"/>
          </w:tcPr>
          <w:p w14:paraId="4F6909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社会</w:t>
            </w:r>
          </w:p>
          <w:p w14:paraId="47AC118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组织</w:t>
            </w:r>
          </w:p>
        </w:tc>
        <w:tc>
          <w:tcPr>
            <w:tcW w:w="637" w:type="dxa"/>
            <w:shd w:val="clear" w:color="auto" w:fill="auto"/>
            <w:noWrap w:val="0"/>
            <w:vAlign w:val="center"/>
          </w:tcPr>
          <w:p w14:paraId="4F574F8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3</w:t>
            </w:r>
          </w:p>
        </w:tc>
        <w:tc>
          <w:tcPr>
            <w:tcW w:w="4016" w:type="dxa"/>
            <w:shd w:val="clear" w:color="auto" w:fill="auto"/>
            <w:noWrap w:val="0"/>
            <w:vAlign w:val="center"/>
          </w:tcPr>
          <w:p w14:paraId="2BD7D943">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全市社会组织数量（家）</w:t>
            </w:r>
          </w:p>
        </w:tc>
        <w:tc>
          <w:tcPr>
            <w:tcW w:w="1230" w:type="dxa"/>
            <w:shd w:val="clear" w:color="auto" w:fill="auto"/>
            <w:noWrap w:val="0"/>
            <w:vAlign w:val="center"/>
          </w:tcPr>
          <w:p w14:paraId="32EC82A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84</w:t>
            </w:r>
          </w:p>
        </w:tc>
        <w:tc>
          <w:tcPr>
            <w:tcW w:w="1261" w:type="dxa"/>
            <w:shd w:val="clear" w:color="auto" w:fill="auto"/>
            <w:noWrap w:val="0"/>
            <w:vAlign w:val="center"/>
          </w:tcPr>
          <w:p w14:paraId="5BE1FAB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r>
              <w:rPr>
                <w:rFonts w:hint="eastAsia" w:eastAsia="方正仿宋简体" w:cs="Times New Roman"/>
                <w:i w:val="0"/>
                <w:iCs w:val="0"/>
                <w:caps w:val="0"/>
                <w:color w:val="auto"/>
                <w:spacing w:val="0"/>
                <w:kern w:val="0"/>
                <w:sz w:val="28"/>
                <w:szCs w:val="28"/>
                <w:shd w:val="clear" w:fill="FFFFFF"/>
                <w:lang w:val="en-US" w:eastAsia="zh-CN" w:bidi="ar-SA"/>
              </w:rPr>
              <w:t>100</w:t>
            </w:r>
          </w:p>
        </w:tc>
        <w:tc>
          <w:tcPr>
            <w:tcW w:w="1144" w:type="dxa"/>
            <w:shd w:val="clear" w:color="auto" w:fill="auto"/>
            <w:noWrap w:val="0"/>
            <w:vAlign w:val="center"/>
          </w:tcPr>
          <w:p w14:paraId="6CCB81D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预期性</w:t>
            </w:r>
          </w:p>
        </w:tc>
      </w:tr>
      <w:tr w14:paraId="0AEC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blHeader/>
          <w:jc w:val="center"/>
        </w:trPr>
        <w:tc>
          <w:tcPr>
            <w:tcW w:w="482" w:type="dxa"/>
            <w:vMerge w:val="continue"/>
            <w:noWrap w:val="0"/>
            <w:vAlign w:val="center"/>
          </w:tcPr>
          <w:p w14:paraId="694CD0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restart"/>
            <w:noWrap w:val="0"/>
            <w:vAlign w:val="center"/>
          </w:tcPr>
          <w:p w14:paraId="48553C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社会</w:t>
            </w:r>
          </w:p>
          <w:p w14:paraId="760F19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工作</w:t>
            </w:r>
          </w:p>
        </w:tc>
        <w:tc>
          <w:tcPr>
            <w:tcW w:w="637" w:type="dxa"/>
            <w:shd w:val="clear" w:color="auto" w:fill="auto"/>
            <w:noWrap w:val="0"/>
            <w:vAlign w:val="center"/>
          </w:tcPr>
          <w:p w14:paraId="77BD59F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4</w:t>
            </w:r>
          </w:p>
        </w:tc>
        <w:tc>
          <w:tcPr>
            <w:tcW w:w="4016" w:type="dxa"/>
            <w:shd w:val="clear" w:color="auto" w:fill="auto"/>
            <w:noWrap w:val="0"/>
            <w:vAlign w:val="center"/>
          </w:tcPr>
          <w:p w14:paraId="2899E1C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kern w:val="2"/>
                <w:sz w:val="28"/>
                <w:szCs w:val="28"/>
                <w:lang w:val="en-US" w:eastAsia="zh-CN" w:bidi="ar-SA"/>
              </w:rPr>
            </w:pPr>
            <w:r>
              <w:rPr>
                <w:rFonts w:hint="eastAsia" w:ascii="方正仿宋简体" w:hAnsi="方正仿宋简体" w:eastAsia="方正仿宋简体" w:cs="方正仿宋简体"/>
                <w:color w:val="auto"/>
                <w:sz w:val="28"/>
                <w:szCs w:val="28"/>
              </w:rPr>
              <w:t>社会工作专业人才总量（人</w:t>
            </w:r>
            <w:r>
              <w:rPr>
                <w:rFonts w:hint="eastAsia" w:ascii="方正仿宋简体" w:hAnsi="方正仿宋简体" w:eastAsia="方正仿宋简体" w:cs="方正仿宋简体"/>
                <w:color w:val="auto"/>
                <w:sz w:val="28"/>
                <w:szCs w:val="28"/>
                <w:lang w:eastAsia="zh-CN"/>
              </w:rPr>
              <w:t>，</w:t>
            </w:r>
            <w:r>
              <w:rPr>
                <w:rFonts w:hint="eastAsia" w:ascii="方正仿宋简体" w:hAnsi="方正仿宋简体" w:eastAsia="方正仿宋简体" w:cs="方正仿宋简体"/>
                <w:color w:val="auto"/>
                <w:sz w:val="28"/>
                <w:szCs w:val="28"/>
                <w:lang w:val="en-US" w:eastAsia="zh-CN"/>
              </w:rPr>
              <w:t>民政服务机构中人才数量</w:t>
            </w:r>
            <w:r>
              <w:rPr>
                <w:rFonts w:hint="eastAsia" w:ascii="方正仿宋简体" w:hAnsi="方正仿宋简体" w:eastAsia="方正仿宋简体" w:cs="方正仿宋简体"/>
                <w:color w:val="auto"/>
                <w:sz w:val="28"/>
                <w:szCs w:val="28"/>
              </w:rPr>
              <w:t>）</w:t>
            </w:r>
          </w:p>
        </w:tc>
        <w:tc>
          <w:tcPr>
            <w:tcW w:w="1230" w:type="dxa"/>
            <w:shd w:val="clear" w:color="auto" w:fill="auto"/>
            <w:noWrap w:val="0"/>
            <w:vAlign w:val="center"/>
          </w:tcPr>
          <w:p w14:paraId="574E41C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w:t>
            </w:r>
          </w:p>
        </w:tc>
        <w:tc>
          <w:tcPr>
            <w:tcW w:w="1261" w:type="dxa"/>
            <w:shd w:val="clear" w:color="auto" w:fill="auto"/>
            <w:noWrap w:val="0"/>
            <w:vAlign w:val="center"/>
          </w:tcPr>
          <w:p w14:paraId="6C26D93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r>
              <w:rPr>
                <w:rFonts w:hint="eastAsia" w:eastAsia="方正仿宋简体" w:cs="Times New Roman"/>
                <w:i w:val="0"/>
                <w:iCs w:val="0"/>
                <w:caps w:val="0"/>
                <w:color w:val="auto"/>
                <w:spacing w:val="0"/>
                <w:kern w:val="0"/>
                <w:sz w:val="28"/>
                <w:szCs w:val="28"/>
                <w:shd w:val="clear" w:fill="FFFFFF"/>
                <w:lang w:val="en-US" w:eastAsia="zh-CN" w:bidi="ar-SA"/>
              </w:rPr>
              <w:t>40</w:t>
            </w:r>
          </w:p>
        </w:tc>
        <w:tc>
          <w:tcPr>
            <w:tcW w:w="1144" w:type="dxa"/>
            <w:shd w:val="clear" w:color="auto" w:fill="auto"/>
            <w:noWrap w:val="0"/>
            <w:vAlign w:val="center"/>
          </w:tcPr>
          <w:p w14:paraId="54D565D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预期性</w:t>
            </w:r>
          </w:p>
        </w:tc>
      </w:tr>
      <w:tr w14:paraId="4009B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blHeader/>
          <w:jc w:val="center"/>
        </w:trPr>
        <w:tc>
          <w:tcPr>
            <w:tcW w:w="482" w:type="dxa"/>
            <w:vMerge w:val="continue"/>
            <w:noWrap w:val="0"/>
            <w:vAlign w:val="center"/>
          </w:tcPr>
          <w:p w14:paraId="1BC060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815" w:type="dxa"/>
            <w:vMerge w:val="continue"/>
            <w:noWrap w:val="0"/>
            <w:vAlign w:val="center"/>
          </w:tcPr>
          <w:p w14:paraId="2BDE90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p>
        </w:tc>
        <w:tc>
          <w:tcPr>
            <w:tcW w:w="637" w:type="dxa"/>
            <w:shd w:val="clear" w:color="auto" w:fill="auto"/>
            <w:noWrap w:val="0"/>
            <w:vAlign w:val="center"/>
          </w:tcPr>
          <w:p w14:paraId="482D9FA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kern w:val="2"/>
                <w:sz w:val="28"/>
                <w:szCs w:val="28"/>
                <w:lang w:val="en-US" w:eastAsia="zh-CN" w:bidi="ar-SA"/>
              </w:rPr>
            </w:pPr>
            <w:r>
              <w:rPr>
                <w:rFonts w:hint="default" w:ascii="Times New Roman" w:hAnsi="Times New Roman" w:eastAsia="方正仿宋简体" w:cs="Times New Roman"/>
                <w:color w:val="auto"/>
                <w:sz w:val="28"/>
                <w:szCs w:val="28"/>
                <w:lang w:val="en-US" w:eastAsia="zh-CN"/>
              </w:rPr>
              <w:t>1</w:t>
            </w:r>
            <w:r>
              <w:rPr>
                <w:rFonts w:hint="eastAsia" w:eastAsia="方正仿宋简体" w:cs="Times New Roman"/>
                <w:color w:val="auto"/>
                <w:sz w:val="28"/>
                <w:szCs w:val="28"/>
                <w:lang w:val="en-US" w:eastAsia="zh-CN"/>
              </w:rPr>
              <w:t>5</w:t>
            </w:r>
          </w:p>
        </w:tc>
        <w:tc>
          <w:tcPr>
            <w:tcW w:w="4016" w:type="dxa"/>
            <w:noWrap w:val="0"/>
            <w:vAlign w:val="center"/>
          </w:tcPr>
          <w:p w14:paraId="1358D9D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获得社会工作者职业水平证书的专业人才（人</w:t>
            </w:r>
            <w:r>
              <w:rPr>
                <w:rFonts w:hint="eastAsia" w:ascii="方正仿宋简体" w:hAnsi="方正仿宋简体" w:eastAsia="方正仿宋简体" w:cs="方正仿宋简体"/>
                <w:color w:val="auto"/>
                <w:sz w:val="28"/>
                <w:szCs w:val="28"/>
                <w:lang w:eastAsia="zh-CN"/>
              </w:rPr>
              <w:t>，</w:t>
            </w:r>
            <w:r>
              <w:rPr>
                <w:rFonts w:hint="eastAsia" w:ascii="方正仿宋简体" w:hAnsi="方正仿宋简体" w:eastAsia="方正仿宋简体" w:cs="方正仿宋简体"/>
                <w:color w:val="auto"/>
                <w:sz w:val="28"/>
                <w:szCs w:val="28"/>
                <w:lang w:val="en-US" w:eastAsia="zh-CN"/>
              </w:rPr>
              <w:t>民政服务机构中人才数量</w:t>
            </w:r>
            <w:r>
              <w:rPr>
                <w:rFonts w:hint="eastAsia" w:ascii="方正仿宋简体" w:hAnsi="方正仿宋简体" w:eastAsia="方正仿宋简体" w:cs="方正仿宋简体"/>
                <w:color w:val="auto"/>
                <w:sz w:val="28"/>
                <w:szCs w:val="28"/>
              </w:rPr>
              <w:t>）</w:t>
            </w:r>
          </w:p>
        </w:tc>
        <w:tc>
          <w:tcPr>
            <w:tcW w:w="1230" w:type="dxa"/>
            <w:noWrap w:val="0"/>
            <w:vAlign w:val="center"/>
          </w:tcPr>
          <w:p w14:paraId="09825DE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方正仿宋简体" w:hAnsi="方正仿宋简体" w:eastAsia="方正仿宋简体" w:cs="方正仿宋简体"/>
                <w:color w:val="auto"/>
                <w:sz w:val="28"/>
                <w:szCs w:val="28"/>
                <w:lang w:val="en-US" w:eastAsia="zh-CN"/>
              </w:rPr>
              <w:t>-</w:t>
            </w:r>
          </w:p>
        </w:tc>
        <w:tc>
          <w:tcPr>
            <w:tcW w:w="1261" w:type="dxa"/>
            <w:noWrap w:val="0"/>
            <w:vAlign w:val="center"/>
          </w:tcPr>
          <w:p w14:paraId="2B9BC86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w:t>
            </w:r>
            <w:r>
              <w:rPr>
                <w:rFonts w:hint="eastAsia" w:eastAsia="方正仿宋简体" w:cs="Times New Roman"/>
                <w:i w:val="0"/>
                <w:iCs w:val="0"/>
                <w:caps w:val="0"/>
                <w:color w:val="auto"/>
                <w:spacing w:val="0"/>
                <w:kern w:val="0"/>
                <w:sz w:val="28"/>
                <w:szCs w:val="28"/>
                <w:shd w:val="clear" w:fill="FFFFFF"/>
                <w:lang w:val="en-US" w:eastAsia="zh-CN" w:bidi="ar-SA"/>
              </w:rPr>
              <w:t>2</w:t>
            </w:r>
            <w:r>
              <w:rPr>
                <w:rFonts w:hint="eastAsia" w:ascii="Times New Roman" w:hAnsi="Times New Roman" w:eastAsia="方正仿宋简体" w:cs="Times New Roman"/>
                <w:i w:val="0"/>
                <w:iCs w:val="0"/>
                <w:caps w:val="0"/>
                <w:color w:val="auto"/>
                <w:spacing w:val="0"/>
                <w:kern w:val="0"/>
                <w:sz w:val="28"/>
                <w:szCs w:val="28"/>
                <w:shd w:val="clear" w:fill="FFFFFF"/>
                <w:lang w:val="en-US" w:eastAsia="zh-CN" w:bidi="ar-SA"/>
              </w:rPr>
              <w:t>0</w:t>
            </w:r>
          </w:p>
        </w:tc>
        <w:tc>
          <w:tcPr>
            <w:tcW w:w="1144" w:type="dxa"/>
            <w:noWrap w:val="0"/>
            <w:vAlign w:val="center"/>
          </w:tcPr>
          <w:p w14:paraId="259598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lang w:val="en-US" w:eastAsia="zh-CN"/>
              </w:rPr>
              <w:t>预期性</w:t>
            </w:r>
          </w:p>
        </w:tc>
      </w:tr>
      <w:tr w14:paraId="7531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6" w:hRule="atLeast"/>
          <w:tblHeader/>
          <w:jc w:val="center"/>
        </w:trPr>
        <w:tc>
          <w:tcPr>
            <w:tcW w:w="482" w:type="dxa"/>
            <w:noWrap w:val="0"/>
            <w:vAlign w:val="center"/>
          </w:tcPr>
          <w:p w14:paraId="7394E0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基本社会服务</w:t>
            </w:r>
          </w:p>
        </w:tc>
        <w:tc>
          <w:tcPr>
            <w:tcW w:w="815" w:type="dxa"/>
            <w:noWrap w:val="0"/>
            <w:vAlign w:val="center"/>
          </w:tcPr>
          <w:p w14:paraId="6EDA90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慈善</w:t>
            </w:r>
          </w:p>
          <w:p w14:paraId="60C020F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事业</w:t>
            </w:r>
          </w:p>
          <w:p w14:paraId="69F2A4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方正仿宋简体" w:hAnsi="方正仿宋简体" w:eastAsia="方正仿宋简体" w:cs="方正仿宋简体"/>
                <w:color w:val="auto"/>
                <w:sz w:val="28"/>
                <w:szCs w:val="28"/>
              </w:rPr>
            </w:pPr>
            <w:r>
              <w:rPr>
                <w:rFonts w:hint="eastAsia" w:ascii="方正仿宋简体" w:hAnsi="方正仿宋简体" w:eastAsia="方正仿宋简体" w:cs="方正仿宋简体"/>
                <w:color w:val="auto"/>
                <w:sz w:val="28"/>
                <w:szCs w:val="28"/>
              </w:rPr>
              <w:t>发展</w:t>
            </w:r>
          </w:p>
        </w:tc>
        <w:tc>
          <w:tcPr>
            <w:tcW w:w="637" w:type="dxa"/>
            <w:shd w:val="clear" w:color="auto" w:fill="auto"/>
            <w:noWrap w:val="0"/>
            <w:vAlign w:val="center"/>
          </w:tcPr>
          <w:p w14:paraId="71CEEAA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color w:val="auto"/>
                <w:sz w:val="28"/>
                <w:szCs w:val="28"/>
                <w:lang w:val="en-US" w:eastAsia="zh-CN"/>
              </w:rPr>
            </w:pPr>
            <w:r>
              <w:rPr>
                <w:rFonts w:hint="eastAsia" w:eastAsia="方正仿宋简体" w:cs="Times New Roman"/>
                <w:color w:val="auto"/>
                <w:sz w:val="28"/>
                <w:szCs w:val="28"/>
                <w:lang w:val="en-US" w:eastAsia="zh-CN"/>
              </w:rPr>
              <w:t>16</w:t>
            </w:r>
          </w:p>
        </w:tc>
        <w:tc>
          <w:tcPr>
            <w:tcW w:w="4016" w:type="dxa"/>
            <w:noWrap w:val="0"/>
            <w:vAlign w:val="center"/>
          </w:tcPr>
          <w:p w14:paraId="40123C2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福利彩票站点数</w:t>
            </w:r>
          </w:p>
        </w:tc>
        <w:tc>
          <w:tcPr>
            <w:tcW w:w="1230" w:type="dxa"/>
            <w:noWrap w:val="0"/>
            <w:vAlign w:val="center"/>
          </w:tcPr>
          <w:p w14:paraId="1382BB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52</w:t>
            </w:r>
          </w:p>
        </w:tc>
        <w:tc>
          <w:tcPr>
            <w:tcW w:w="1261" w:type="dxa"/>
            <w:noWrap w:val="0"/>
            <w:vAlign w:val="center"/>
          </w:tcPr>
          <w:p w14:paraId="3994CBB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简体" w:cs="Times New Roman"/>
                <w:i w:val="0"/>
                <w:iCs w:val="0"/>
                <w:caps w:val="0"/>
                <w:color w:val="auto"/>
                <w:spacing w:val="0"/>
                <w:kern w:val="0"/>
                <w:sz w:val="28"/>
                <w:szCs w:val="28"/>
                <w:shd w:val="clear" w:fill="FFFFFF"/>
                <w:lang w:val="en-US" w:eastAsia="zh-CN" w:bidi="ar-SA"/>
              </w:rPr>
            </w:pPr>
            <w:r>
              <w:rPr>
                <w:rFonts w:hint="eastAsia" w:eastAsia="方正仿宋简体" w:cs="Times New Roman"/>
                <w:i w:val="0"/>
                <w:iCs w:val="0"/>
                <w:caps w:val="0"/>
                <w:color w:val="auto"/>
                <w:spacing w:val="0"/>
                <w:kern w:val="0"/>
                <w:sz w:val="28"/>
                <w:szCs w:val="28"/>
                <w:shd w:val="clear" w:fill="FFFFFF"/>
                <w:lang w:val="en-US" w:eastAsia="zh-CN" w:bidi="ar-SA"/>
              </w:rPr>
              <w:t>70</w:t>
            </w:r>
          </w:p>
        </w:tc>
        <w:tc>
          <w:tcPr>
            <w:tcW w:w="1144" w:type="dxa"/>
            <w:noWrap w:val="0"/>
            <w:vAlign w:val="center"/>
          </w:tcPr>
          <w:p w14:paraId="24D4100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简体" w:hAnsi="方正仿宋简体" w:eastAsia="方正仿宋简体" w:cs="方正仿宋简体"/>
                <w:color w:val="auto"/>
                <w:sz w:val="28"/>
                <w:szCs w:val="28"/>
                <w:lang w:val="en-US" w:eastAsia="zh-CN"/>
              </w:rPr>
            </w:pPr>
            <w:r>
              <w:rPr>
                <w:rFonts w:hint="eastAsia" w:ascii="方正仿宋简体" w:hAnsi="方正仿宋简体" w:eastAsia="方正仿宋简体" w:cs="方正仿宋简体"/>
                <w:color w:val="auto"/>
                <w:sz w:val="28"/>
                <w:szCs w:val="28"/>
                <w:lang w:val="en-US" w:eastAsia="zh-CN"/>
              </w:rPr>
              <w:t>预期性</w:t>
            </w:r>
          </w:p>
        </w:tc>
      </w:tr>
      <w:bookmarkEnd w:id="27"/>
      <w:bookmarkEnd w:id="28"/>
      <w:bookmarkEnd w:id="29"/>
    </w:tbl>
    <w:p w14:paraId="54A9E4F9">
      <w:pPr>
        <w:rPr>
          <w:rFonts w:hint="eastAsia" w:ascii="方正黑体简体" w:hAnsi="方正黑体简体" w:eastAsia="方正黑体简体" w:cs="方正黑体简体"/>
          <w:b w:val="0"/>
          <w:bCs w:val="0"/>
          <w:color w:val="auto"/>
          <w:sz w:val="32"/>
          <w:szCs w:val="32"/>
          <w:lang w:val="en-US" w:eastAsia="zh-CN"/>
        </w:rPr>
      </w:pPr>
      <w:bookmarkStart w:id="30" w:name="_Toc2348"/>
      <w:bookmarkStart w:id="31" w:name="_Toc8364"/>
      <w:bookmarkStart w:id="32" w:name="_Toc2624"/>
      <w:r>
        <w:rPr>
          <w:rFonts w:hint="eastAsia" w:ascii="方正黑体简体" w:hAnsi="方正黑体简体" w:eastAsia="方正黑体简体" w:cs="方正黑体简体"/>
          <w:b w:val="0"/>
          <w:bCs w:val="0"/>
          <w:color w:val="auto"/>
          <w:sz w:val="32"/>
          <w:szCs w:val="32"/>
          <w:lang w:val="en-US" w:eastAsia="zh-CN"/>
        </w:rPr>
        <w:br w:type="page"/>
      </w:r>
    </w:p>
    <w:p w14:paraId="2B28E7D8">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0"/>
        <w:rPr>
          <w:rFonts w:hint="eastAsia" w:ascii="方正黑体简体" w:hAnsi="方正黑体简体" w:eastAsia="方正黑体简体" w:cs="方正黑体简体"/>
          <w:b w:val="0"/>
          <w:bCs w:val="0"/>
          <w:color w:val="auto"/>
          <w:sz w:val="32"/>
          <w:szCs w:val="32"/>
          <w:lang w:val="en-US" w:eastAsia="zh-CN"/>
        </w:rPr>
      </w:pPr>
      <w:r>
        <w:rPr>
          <w:rFonts w:hint="eastAsia" w:ascii="方正黑体简体" w:hAnsi="方正黑体简体" w:eastAsia="方正黑体简体" w:cs="方正黑体简体"/>
          <w:b w:val="0"/>
          <w:bCs w:val="0"/>
          <w:color w:val="auto"/>
          <w:sz w:val="32"/>
          <w:szCs w:val="32"/>
          <w:lang w:val="en-US" w:eastAsia="zh-CN"/>
        </w:rPr>
        <w:t>第三章 主要任务</w:t>
      </w:r>
      <w:bookmarkEnd w:id="30"/>
      <w:bookmarkEnd w:id="31"/>
      <w:bookmarkEnd w:id="32"/>
    </w:p>
    <w:p w14:paraId="3A0E36AE">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val="0"/>
          <w:color w:val="auto"/>
          <w:sz w:val="32"/>
          <w:szCs w:val="32"/>
          <w:lang w:val="en-US" w:eastAsia="zh-CN"/>
        </w:rPr>
      </w:pPr>
      <w:bookmarkStart w:id="33" w:name="_Toc7872"/>
      <w:bookmarkStart w:id="34" w:name="_Toc31932"/>
      <w:r>
        <w:rPr>
          <w:rFonts w:hint="eastAsia" w:ascii="方正楷体简体" w:hAnsi="方正楷体简体" w:eastAsia="方正楷体简体" w:cs="方正楷体简体"/>
          <w:b w:val="0"/>
          <w:bCs w:val="0"/>
          <w:color w:val="auto"/>
          <w:sz w:val="32"/>
          <w:szCs w:val="32"/>
          <w:lang w:val="en-US" w:eastAsia="zh-CN"/>
        </w:rPr>
        <w:t>第七节 着力构建高原特色养老服务体系</w:t>
      </w:r>
      <w:bookmarkEnd w:id="33"/>
      <w:bookmarkEnd w:id="34"/>
    </w:p>
    <w:p w14:paraId="6C6FDD87">
      <w:pPr>
        <w:keepNext w:val="0"/>
        <w:keepLines w:val="0"/>
        <w:pageBreakBefore w:val="0"/>
        <w:widowControl w:val="0"/>
        <w:kinsoku/>
        <w:wordWrap/>
        <w:overflowPunct/>
        <w:topLinePunct w:val="0"/>
        <w:autoSpaceDE/>
        <w:autoSpaceDN/>
        <w:bidi w:val="0"/>
        <w:adjustRightInd/>
        <w:snapToGrid/>
        <w:spacing w:line="576" w:lineRule="exact"/>
        <w:ind w:firstLine="624" w:firstLineChars="200"/>
        <w:jc w:val="both"/>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pacing w:val="-4"/>
          <w:sz w:val="32"/>
          <w:szCs w:val="32"/>
          <w:lang w:val="en-US" w:eastAsia="zh-CN"/>
        </w:rPr>
        <w:t>深入贯彻积极应对人口老龄化国家战略，立足那曲市的高海拔、人口分散、服务半径大的实际，加快构建适应本区域的城乡四级养老服务网络。到</w:t>
      </w:r>
      <w:r>
        <w:rPr>
          <w:rFonts w:hint="default" w:ascii="Times New Roman" w:hAnsi="Times New Roman" w:eastAsia="方正小标宋简体" w:cs="Times New Roman"/>
          <w:b w:val="0"/>
          <w:bCs w:val="0"/>
          <w:color w:val="auto"/>
          <w:sz w:val="32"/>
          <w:szCs w:val="32"/>
          <w:lang w:val="en-US" w:eastAsia="zh-CN"/>
        </w:rPr>
        <w:t>2030</w:t>
      </w:r>
      <w:r>
        <w:rPr>
          <w:rFonts w:hint="eastAsia" w:ascii="方正仿宋简体" w:hAnsi="方正仿宋简体" w:eastAsia="方正仿宋简体" w:cs="方正仿宋简体"/>
          <w:color w:val="auto"/>
          <w:spacing w:val="-4"/>
          <w:sz w:val="32"/>
          <w:szCs w:val="32"/>
          <w:lang w:val="en-US" w:eastAsia="zh-CN"/>
        </w:rPr>
        <w:t>年，实现全市养老服务向普惠化发展，促进人人享有基本养老服务。</w:t>
      </w:r>
    </w:p>
    <w:p w14:paraId="1B67542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（22）推动老龄事业健康发展</w:t>
      </w:r>
    </w:p>
    <w:p w14:paraId="6C0D8CE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——健全老龄工作政策制度。将老龄事业深度融入乡村振兴、高原生态保护、民生改善等全市重大战略部署。</w:t>
      </w:r>
      <w:r>
        <w:rPr>
          <w:rFonts w:hint="default" w:ascii="方正仿宋简体" w:hAnsi="方正仿宋简体" w:eastAsia="方正仿宋简体" w:cs="方正仿宋简体"/>
          <w:color w:val="auto"/>
          <w:sz w:val="32"/>
          <w:szCs w:val="32"/>
          <w:lang w:val="en" w:eastAsia="zh-CN"/>
        </w:rPr>
        <w:t>充分发挥民政老龄办职能，组织制定并协调落实促进全市养老事业发展的具体举措。</w:t>
      </w:r>
      <w:r>
        <w:rPr>
          <w:rFonts w:hint="eastAsia" w:ascii="方正仿宋简体" w:hAnsi="方正仿宋简体" w:eastAsia="方正仿宋简体" w:cs="方正仿宋简体"/>
          <w:color w:val="auto"/>
          <w:sz w:val="32"/>
          <w:szCs w:val="32"/>
          <w:lang w:val="en-US" w:eastAsia="zh-CN"/>
        </w:rPr>
        <w:t>聚焦高海拔地区老年人特殊需求，完善社会保障、养老服务、健康支持、社会福利、权益保障等政策制度，构建覆盖城乡、衔接配套、精准高效的老龄政策体系。立足牧区分散居住、交通不便、服务供给不足等实际，出台老年人冬季取暖、高原健康保健、应急救援保障、跨县域养老服务等差异化政策举措，谋划实施高海拔牧区养老服务提升、藏医康养普惠、老年人关爱帮扶等一批可感可及的民生实事项目。完善老年人社会救助、社会福利与社会保险的衔接机制。落实经济困难高龄失能老年人补贴、高龄健康补贴等政策，结合那曲实际适当提高补贴标准、扩大覆盖范围，强化对牧区特困、空巢、独居、留守老年人的兜底保障。</w:t>
      </w:r>
    </w:p>
    <w:p w14:paraId="2822797D">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老年健康支撑体系。针对高海拔高寒环境老年人心脑血管、呼吸、骨关节等慢性病高发、健康风险突出的特点，构建“预防—治疗—康复—护理—安宁疗护”全链条老年健康支撑体系。加强城乡社区老年健康宣传教育，普及高原养生、慢性病防控、自我护理等健康知识，提升老年人健康素养和自救互救能力。深化医疗卫生机构与养老机构合作，健全“医养一体、双向转诊”机制，畅通急诊急救、住院治疗、康复护理绿色通道，整合优化市县乡三级医疗与养老资源，重点为老年人提供常见病诊疗、慢性病管理、康复护理、生活照料、精神慰藉等综合服务。依托那曲市藏医院及各县藏医院资源，建设市级藏医康养示范中心，支持县（区）打造藏医康养特色基地，开发推广“藏药浴 + 理疗”“高原养生茶 + 膳食调理”“盐敷火灸 + 康复训练”等羌塘特色藏医康养服务包，将符合条件的藏医康养项目全部纳入医保报销范围。建立老年人健康档案全覆盖制度，加强牧区失能高危人群早期筛查、动态监测和综合干预，着力降低高海拔地区老年人失能发生率。</w:t>
      </w:r>
    </w:p>
    <w:p w14:paraId="54E9BA3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强化老龄工作监督管理。推进老龄工作标准化建设，对接自治区养老服务、医养结合、老年健康等标准规范，以标准化推动为老服务优质化、均等化、便捷化。加强养老服务质量安全监管，健全覆盖机构养老、居家社区养老、医养结合、老年助餐、牧区互助养老等全领域的监管制度，重点强化养老机构食品安全、医疗安全、消防安全、高原防寒安全等监管。推进养老服务项目、服务流程、收费标准、补贴政策等信息公开透明，接受社会监督。加强对养老机构、日间照料中心、农村幸福院等服务机构的等级评定和动态管理，建立服务质量评价、信用监管、失信惩戒机制，坚决整治侵害老年人权益的违法违规行为。强化老龄工作队伍监管，开展养老护理、藏医康养、老年社工等专业培训，提升从业人员专业素养和服务能力，打造一支适应藏北高原、热爱老龄事业的专业化服务队伍，切实保障老年人享受安全、优质、暖心的养老服务。</w:t>
      </w:r>
    </w:p>
    <w:p w14:paraId="6375770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lang w:val="en-US" w:eastAsia="zh-CN"/>
        </w:rPr>
        <w:t>——构建老龄工作社会参与体系。积极保障老年人合法权益，创造适合高海拔地区老年人的灵活就业、居家就业、社区就业岗位。鼓励低龄健康老年人参与政策宣传、民俗传承、草原管护、矛盾调解等工作，扩大“银龄行动”在羌塘高原的影响力。重视老年人在基层治理中的作用，鼓励有意愿、有能力的老年人以志愿服务形式参与村级事务监督、邻里纠纷调解、文化传承、生态保护等基层治理工作。结合老年友好型社区建设，将无障碍改造纳入城镇更新、老旧小区改造、农村人居环境整治、牧区定居点建设，重点改造老年人住宅、社区道路、公共服务场所的坡道、扶手、卫生间等设施，打造便捷安全的高海拔适老宜居环境。大力发展银发经济，立足羌塘特色资源，开发老年服饰、高原养生食品、藏医药保健用品、适老化智能设备等老年用品，培育牧区旅居养老、藏医康养旅游、老年文化体验等新业态。完善社区日间照料中心功能，支持藏戏表演、非遗体验、民族手工艺等特色活动，探索在老龄旅游密集的县（区）建立日间照料中心与旅居养老联动试点。健全为老志愿服务体系，建立市县乡三级志愿服务项目库，开展牧区上门照料、健康巡诊、精神慰藉、法律援助、代购代办等服务。发展为老公益慈善事业，开展慈善募捐、结对帮扶、节日慰问等活动，构建“政府主导、社会参与、全民关怀”的老龄工作格局。</w:t>
      </w:r>
    </w:p>
    <w:p w14:paraId="2B24FAC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35" w:name="_Toc26793"/>
      <w:bookmarkStart w:id="36" w:name="_Toc7668"/>
      <w:bookmarkStart w:id="37" w:name="_Toc1734"/>
      <w:r>
        <w:rPr>
          <w:rFonts w:hint="eastAsia" w:ascii="方正楷体简体" w:hAnsi="方正楷体简体" w:eastAsia="方正楷体简体" w:cs="方正楷体简体"/>
          <w:b w:val="0"/>
          <w:bCs w:val="0"/>
          <w:color w:val="auto"/>
          <w:sz w:val="32"/>
          <w:szCs w:val="32"/>
          <w:lang w:val="en-US" w:eastAsia="zh-CN"/>
        </w:rPr>
        <w:t>（23）构建城乡四级养老服务网络</w:t>
      </w:r>
      <w:bookmarkEnd w:id="35"/>
      <w:bookmarkEnd w:id="36"/>
      <w:bookmarkEnd w:id="37"/>
    </w:p>
    <w:p w14:paraId="4B17A92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——全面设立村级（社区）养老服务点。依托</w:t>
      </w:r>
      <w:r>
        <w:rPr>
          <w:rFonts w:hint="eastAsia" w:ascii="方正仿宋简体" w:hAnsi="方正仿宋简体" w:eastAsia="方正仿宋简体" w:cs="方正仿宋简体"/>
          <w:color w:val="auto"/>
          <w:sz w:val="32"/>
          <w:szCs w:val="32"/>
        </w:rPr>
        <w:t>村民委员会</w:t>
      </w:r>
      <w:r>
        <w:rPr>
          <w:rFonts w:hint="eastAsia" w:ascii="方正仿宋简体" w:hAnsi="方正仿宋简体" w:eastAsia="方正仿宋简体" w:cs="方正仿宋简体"/>
          <w:color w:val="auto"/>
          <w:sz w:val="32"/>
          <w:szCs w:val="32"/>
          <w:lang w:val="en-US" w:eastAsia="zh-CN"/>
        </w:rPr>
        <w:t>和村</w:t>
      </w:r>
      <w:r>
        <w:rPr>
          <w:rFonts w:hint="eastAsia" w:ascii="方正仿宋简体" w:hAnsi="方正仿宋简体" w:eastAsia="方正仿宋简体" w:cs="方正仿宋简体"/>
          <w:color w:val="auto"/>
          <w:sz w:val="32"/>
          <w:szCs w:val="32"/>
        </w:rPr>
        <w:t>党群服务中心</w:t>
      </w:r>
      <w:r>
        <w:rPr>
          <w:rFonts w:hint="eastAsia" w:ascii="方正仿宋简体" w:hAnsi="方正仿宋简体" w:eastAsia="方正仿宋简体" w:cs="方正仿宋简体"/>
          <w:color w:val="auto"/>
          <w:sz w:val="32"/>
          <w:szCs w:val="32"/>
          <w:lang w:val="en-US" w:eastAsia="zh-CN"/>
        </w:rPr>
        <w:t>设置村级养老服务点，建立村级养老服务点与上级养老服务站（中心）的联络与服务对接机制，织密养老服务保障网络。探索建立</w:t>
      </w:r>
      <w:r>
        <w:rPr>
          <w:rFonts w:hint="eastAsia" w:ascii="方正仿宋简体" w:hAnsi="方正仿宋简体" w:eastAsia="方正仿宋简体" w:cs="方正仿宋简体"/>
          <w:color w:val="auto"/>
          <w:sz w:val="32"/>
          <w:szCs w:val="32"/>
        </w:rPr>
        <w:t>牧区</w:t>
      </w:r>
      <w:r>
        <w:rPr>
          <w:rFonts w:hint="eastAsia" w:ascii="方正仿宋简体" w:hAnsi="方正仿宋简体" w:eastAsia="方正仿宋简体" w:cs="方正仿宋简体"/>
          <w:color w:val="auto"/>
          <w:sz w:val="32"/>
          <w:szCs w:val="32"/>
          <w:lang w:eastAsia="zh-CN"/>
        </w:rPr>
        <w:t>互助性养老服务</w:t>
      </w:r>
      <w:r>
        <w:rPr>
          <w:rFonts w:hint="eastAsia" w:ascii="方正仿宋简体" w:hAnsi="方正仿宋简体" w:eastAsia="方正仿宋简体" w:cs="方正仿宋简体"/>
          <w:color w:val="auto"/>
          <w:sz w:val="32"/>
          <w:szCs w:val="32"/>
          <w:lang w:val="en-US" w:eastAsia="zh-CN"/>
        </w:rPr>
        <w:t>机制，建立</w:t>
      </w:r>
      <w:r>
        <w:rPr>
          <w:rFonts w:hint="eastAsia" w:ascii="方正仿宋简体" w:hAnsi="方正仿宋简体" w:eastAsia="方正仿宋简体" w:cs="方正仿宋简体"/>
          <w:color w:val="auto"/>
          <w:sz w:val="32"/>
          <w:szCs w:val="32"/>
        </w:rPr>
        <w:t>牧区</w:t>
      </w:r>
      <w:r>
        <w:rPr>
          <w:rFonts w:hint="eastAsia" w:ascii="方正仿宋简体" w:hAnsi="方正仿宋简体" w:eastAsia="方正仿宋简体" w:cs="方正仿宋简体"/>
          <w:color w:val="auto"/>
          <w:sz w:val="32"/>
          <w:szCs w:val="32"/>
          <w:lang w:val="en-US" w:eastAsia="zh-CN"/>
        </w:rPr>
        <w:t>农村老年人“结对扶老”制度，</w:t>
      </w:r>
      <w:r>
        <w:rPr>
          <w:rFonts w:hint="eastAsia" w:ascii="方正仿宋简体" w:hAnsi="方正仿宋简体" w:eastAsia="方正仿宋简体" w:cs="方正仿宋简体"/>
          <w:color w:val="auto"/>
          <w:sz w:val="32"/>
          <w:szCs w:val="32"/>
        </w:rPr>
        <w:t>探索邻里互助、结对帮扶等模式，灵活多样开展</w:t>
      </w:r>
      <w:r>
        <w:rPr>
          <w:rFonts w:hint="eastAsia" w:ascii="方正仿宋简体" w:hAnsi="方正仿宋简体" w:eastAsia="方正仿宋简体" w:cs="方正仿宋简体"/>
          <w:color w:val="auto"/>
          <w:sz w:val="32"/>
          <w:szCs w:val="32"/>
          <w:lang w:eastAsia="zh-CN"/>
        </w:rPr>
        <w:t>互助性养老服务</w:t>
      </w:r>
      <w:r>
        <w:rPr>
          <w:rFonts w:hint="eastAsia" w:ascii="方正仿宋简体" w:hAnsi="方正仿宋简体" w:eastAsia="方正仿宋简体" w:cs="方正仿宋简体"/>
          <w:color w:val="auto"/>
          <w:sz w:val="32"/>
          <w:szCs w:val="32"/>
        </w:rPr>
        <w:t>。将村级邻里互助点等互助养老服务设施建设纳入村庄规划。</w:t>
      </w:r>
    </w:p>
    <w:p w14:paraId="7DBF36A3">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补充完善乡镇（街道）养老服务站。针对那曲市乡镇人口规模小、分布广、不集中的特点，依托乡镇农村幸福院，将其建设成乡镇（街道）养老服务站，为居民提供居家和社区养老服务。全面规划和建设乡镇农村幸福院，逐步完善乡镇养老服务网络，创新乡镇农村幸福院运行机制，促进其可持续运营和发展。明确乡镇养老服务站养老服务功能定位，制定乡镇养老服务站的养老服务清单，建立乡镇养老服务站与村级养老服务点和县级养老服务中心的联络与服务对接机制。建立农村居家特困人员及高龄、独居、留守、残疾和失能老年人数据台账，建立老年人探访关爱及应急救援机制，开展多样化互助性养老服务。探索在县域内养老服务站联合设立</w:t>
      </w:r>
      <w:r>
        <w:rPr>
          <w:rFonts w:hint="eastAsia" w:ascii="方正仿宋简体" w:hAnsi="方正仿宋简体" w:eastAsia="方正仿宋简体" w:cs="方正仿宋简体"/>
          <w:color w:val="auto"/>
          <w:sz w:val="32"/>
          <w:szCs w:val="32"/>
        </w:rPr>
        <w:t>流动服务</w:t>
      </w:r>
      <w:r>
        <w:rPr>
          <w:rFonts w:hint="eastAsia" w:ascii="方正仿宋简体" w:hAnsi="方正仿宋简体" w:eastAsia="方正仿宋简体" w:cs="方正仿宋简体"/>
          <w:color w:val="auto"/>
          <w:sz w:val="32"/>
          <w:szCs w:val="32"/>
          <w:lang w:val="en-US" w:eastAsia="zh-CN"/>
        </w:rPr>
        <w:t>站，开展养老服务宣传，提供专业化养老服务，更好地解决</w:t>
      </w:r>
      <w:r>
        <w:rPr>
          <w:rFonts w:hint="eastAsia" w:ascii="方正仿宋简体" w:hAnsi="方正仿宋简体" w:eastAsia="方正仿宋简体" w:cs="方正仿宋简体"/>
          <w:color w:val="auto"/>
          <w:sz w:val="32"/>
          <w:szCs w:val="32"/>
        </w:rPr>
        <w:t>老年人在游牧过程中助急、助医等服务难题</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切实把养老服务延伸到牧区家庭。</w:t>
      </w:r>
    </w:p>
    <w:p w14:paraId="18B935F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——建设县（区）养老服务中心。依托县（区）特困人员集中供养中心和日间照料中心，建设县域内养</w:t>
      </w:r>
      <w:r>
        <w:rPr>
          <w:rFonts w:hint="eastAsia" w:ascii="方正仿宋简体" w:hAnsi="方正仿宋简体" w:eastAsia="方正仿宋简体" w:cs="方正仿宋简体"/>
          <w:color w:val="auto"/>
          <w:spacing w:val="-4"/>
          <w:sz w:val="32"/>
          <w:szCs w:val="32"/>
          <w:lang w:val="en-US" w:eastAsia="zh-CN"/>
        </w:rPr>
        <w:t>老服务中心，为辖区内特困老年人和其他社会老年人提供基础生活照护服务、健康管理与医疗保障、康复护理与能力提升、精神关爱与文化服务、智慧化支持与安全保障、资源链接与社会支持等方面服务。完善城区内日间照料中心功能，坚持围绕老年人“周边、身边、床边”建设设施和服务，形成“家门口的幸福养老”服务模式。</w:t>
      </w:r>
      <w:r>
        <w:rPr>
          <w:rFonts w:hint="default" w:ascii="方正仿宋简体" w:hAnsi="方正仿宋简体" w:eastAsia="方正仿宋简体" w:cs="方正仿宋简体"/>
          <w:color w:val="auto"/>
          <w:spacing w:val="-4"/>
          <w:sz w:val="32"/>
          <w:szCs w:val="32"/>
          <w:lang w:val="en-US" w:eastAsia="zh-CN"/>
        </w:rPr>
        <w:t>推动县级特困供养中心服务对象从特困老人向全社会老年人基本覆盖</w:t>
      </w:r>
      <w:r>
        <w:rPr>
          <w:rFonts w:hint="eastAsia" w:ascii="方正仿宋简体" w:hAnsi="方正仿宋简体" w:eastAsia="方正仿宋简体" w:cs="方正仿宋简体"/>
          <w:color w:val="auto"/>
          <w:spacing w:val="-4"/>
          <w:sz w:val="32"/>
          <w:szCs w:val="32"/>
          <w:lang w:val="en-US" w:eastAsia="zh-CN"/>
        </w:rPr>
        <w:t>，逐步满足辖区内社会老年人的各类养老服务需求，建立与辖区内乡镇养老服务站的联络机制，将其建设成为县（区）综合养老服务中心。</w:t>
      </w:r>
    </w:p>
    <w:p w14:paraId="763D47C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构建市级养老服务平台。以那曲市智慧民政项目为依托，推进智慧养老服务，实时对接线下养老服务，实现线上智慧管理和线下精准服务，构建市级养老服务统一平台。总体架构包括市级平台、县（区）级中心、镇服务站和村服务点，应涵盖机构管理、服务对接、健康监测、安全监管等核心功能，以整合生活照料、医疗护理、康复保健、精神慰藉等服务资源。</w:t>
      </w:r>
    </w:p>
    <w:p w14:paraId="22EFF7F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——合理规划布局养老服务设施。开展全市养老服务设施专项规划，加强资源配置，优化设施布局，</w:t>
      </w:r>
      <w:r>
        <w:rPr>
          <w:rFonts w:hint="eastAsia" w:ascii="方正仿宋简体" w:hAnsi="方正仿宋简体" w:eastAsia="方正仿宋简体" w:cs="方正仿宋简体"/>
          <w:color w:val="auto"/>
          <w:spacing w:val="-4"/>
          <w:sz w:val="32"/>
          <w:szCs w:val="32"/>
          <w:lang w:val="en-US" w:eastAsia="zh-CN"/>
        </w:rPr>
        <w:t>合理布局数量充足、功能适老、方便可及的养老服务设施，建立市级、县（区）、乡镇（街道）、村（社区）四级养老服务网络。针对县（区）人口分布特点，依托特困人员集中供养中心和农村幸福院，按照“市级建平台、一县（区）一中心、一乡镇一站、一村一互助点”的原则，加快补齐县（区）养老服务中心、乡镇养老服务站和农村互助养老点建设短板，推广“机构建中心带站点进家庭”管理运营模式。</w:t>
      </w:r>
    </w:p>
    <w:p w14:paraId="24E1B21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38" w:name="_Toc1561"/>
      <w:bookmarkStart w:id="39" w:name="_Toc8447"/>
      <w:bookmarkStart w:id="40" w:name="_Toc5963"/>
      <w:r>
        <w:rPr>
          <w:rFonts w:hint="eastAsia" w:ascii="方正楷体简体" w:hAnsi="方正楷体简体" w:eastAsia="方正楷体简体" w:cs="方正楷体简体"/>
          <w:b w:val="0"/>
          <w:bCs w:val="0"/>
          <w:color w:val="auto"/>
          <w:sz w:val="32"/>
          <w:szCs w:val="32"/>
          <w:lang w:val="en-US" w:eastAsia="zh-CN"/>
        </w:rPr>
        <w:t>（24）完善基本养老服务政策制度</w:t>
      </w:r>
      <w:bookmarkEnd w:id="38"/>
      <w:bookmarkEnd w:id="39"/>
      <w:bookmarkEnd w:id="40"/>
    </w:p>
    <w:p w14:paraId="17E793AE">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兜底性养老服务制度。持续做好城乡特困人员集中供养工作，推动特困人员供养机构高质量发展，完善特困人员集中供养中心服务清单制度，强化老年人养老服务权益兜底保障，提升特困人员供养机构集中供养照护能力。建立特殊困难老年人定期探访和关爱服务制度，全力保障特困、高龄、失能、留守、空巢（独居）、计划生育特殊家庭等特殊困难老年人的基本养老服务。完善特困人员长期照护保障制度，持续推进失能特困人员集中照护床位建设，提升失能老年人的长期照护能力。</w:t>
      </w:r>
    </w:p>
    <w:p w14:paraId="71084A9C">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——建立基础性、普惠性</w:t>
      </w:r>
      <w:r>
        <w:rPr>
          <w:rFonts w:hint="eastAsia" w:ascii="方正仿宋简体" w:hAnsi="方正仿宋简体" w:eastAsia="方正仿宋简体" w:cs="方正仿宋简体"/>
          <w:color w:val="auto"/>
          <w:sz w:val="32"/>
          <w:szCs w:val="32"/>
        </w:rPr>
        <w:t>养老服务制度。制定基本养老服务清单，明确政府保障的</w:t>
      </w:r>
      <w:r>
        <w:rPr>
          <w:rFonts w:hint="eastAsia" w:ascii="方正仿宋简体" w:hAnsi="方正仿宋简体" w:eastAsia="方正仿宋简体" w:cs="方正仿宋简体"/>
          <w:color w:val="auto"/>
          <w:sz w:val="32"/>
          <w:szCs w:val="32"/>
          <w:lang w:val="en-US" w:eastAsia="zh-CN"/>
        </w:rPr>
        <w:t>范围、内容、</w:t>
      </w:r>
      <w:r>
        <w:rPr>
          <w:rFonts w:hint="eastAsia" w:ascii="方正仿宋简体" w:hAnsi="方正仿宋简体" w:eastAsia="方正仿宋简体" w:cs="方正仿宋简体"/>
          <w:color w:val="auto"/>
          <w:sz w:val="32"/>
          <w:szCs w:val="32"/>
        </w:rPr>
        <w:t>标准，优先</w:t>
      </w:r>
      <w:r>
        <w:rPr>
          <w:rFonts w:hint="eastAsia" w:ascii="方正仿宋简体" w:hAnsi="方正仿宋简体" w:eastAsia="方正仿宋简体" w:cs="方正仿宋简体"/>
          <w:color w:val="auto"/>
          <w:sz w:val="32"/>
          <w:szCs w:val="32"/>
          <w:lang w:eastAsia="zh-CN"/>
        </w:rPr>
        <w:t>保障</w:t>
      </w:r>
      <w:r>
        <w:rPr>
          <w:rFonts w:hint="eastAsia" w:ascii="方正仿宋简体" w:hAnsi="方正仿宋简体" w:eastAsia="方正仿宋简体" w:cs="方正仿宋简体"/>
          <w:color w:val="auto"/>
          <w:sz w:val="32"/>
          <w:szCs w:val="32"/>
        </w:rPr>
        <w:t>孤寡、失能、重度残疾、高龄老年人，以及计划生育家庭特别扶助对象、重点优抚对象等人员的基本养老服务需求</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各县（区）根据经济发展情况和老年人口状况，建立本地区基本养老服务清单并逐步丰富发展服务内容。健全</w:t>
      </w:r>
      <w:r>
        <w:rPr>
          <w:rFonts w:hint="eastAsia" w:ascii="方正仿宋简体" w:hAnsi="方正仿宋简体" w:eastAsia="方正仿宋简体" w:cs="方正仿宋简体"/>
          <w:color w:val="auto"/>
          <w:sz w:val="32"/>
          <w:szCs w:val="32"/>
        </w:rPr>
        <w:t>养老补贴制度</w:t>
      </w:r>
      <w:r>
        <w:rPr>
          <w:rFonts w:hint="eastAsia" w:ascii="方正仿宋简体" w:hAnsi="方正仿宋简体" w:eastAsia="方正仿宋简体" w:cs="方正仿宋简体"/>
          <w:color w:val="auto"/>
          <w:sz w:val="32"/>
          <w:szCs w:val="32"/>
          <w:lang w:val="en-US" w:eastAsia="zh-CN"/>
        </w:rPr>
        <w:t>，推动发展普惠型养老机构，</w:t>
      </w:r>
      <w:r>
        <w:rPr>
          <w:rFonts w:hint="eastAsia" w:ascii="方正仿宋简体" w:hAnsi="方正仿宋简体" w:eastAsia="方正仿宋简体" w:cs="方正仿宋简体"/>
          <w:color w:val="auto"/>
          <w:sz w:val="32"/>
          <w:szCs w:val="32"/>
        </w:rPr>
        <w:t>完</w:t>
      </w:r>
      <w:r>
        <w:rPr>
          <w:rFonts w:hint="eastAsia" w:ascii="方正仿宋简体" w:hAnsi="方正仿宋简体" w:eastAsia="方正仿宋简体" w:cs="方正仿宋简体"/>
          <w:color w:val="auto"/>
          <w:sz w:val="32"/>
          <w:szCs w:val="32"/>
          <w:lang w:val="en-US" w:eastAsia="zh-CN"/>
        </w:rPr>
        <w:t>善保基本养</w:t>
      </w:r>
      <w:r>
        <w:rPr>
          <w:rFonts w:hint="eastAsia" w:ascii="方正仿宋简体" w:hAnsi="方正仿宋简体" w:eastAsia="方正仿宋简体" w:cs="方正仿宋简体"/>
          <w:color w:val="auto"/>
          <w:sz w:val="32"/>
          <w:szCs w:val="32"/>
        </w:rPr>
        <w:t>老机构（床位）的建设标准、运营方式以及入住条件等政</w:t>
      </w:r>
      <w:r>
        <w:rPr>
          <w:rFonts w:hint="eastAsia" w:ascii="方正仿宋简体" w:hAnsi="方正仿宋简体" w:eastAsia="方正仿宋简体" w:cs="方正仿宋简体"/>
          <w:color w:val="auto"/>
          <w:sz w:val="32"/>
          <w:szCs w:val="32"/>
          <w:lang w:val="en-US" w:eastAsia="zh-CN"/>
        </w:rPr>
        <w:t>策，建立健全失能老年人养老消费补贴政策，落实好上级有关部门的养老补贴政策。推进建立失能失智老年人照护体系，聚焦认知障碍照护服务刚性需求，建立健全社区干预、机构照护、社会宣教等制度，加强养老机构重度失能失智老年人床位规范建设，制定照护床位岗位及服务规范。建立健全家庭养老支持政策，继续推动养老家庭照护床位建设和适老化改造，制度化开展失能老年人家庭照护者技能培训，增强家庭养老照护服务能力。建立健全养老机构应急制度，制定养老机构应急设施建设和应急设备配备工作规范，推进养老机构消防设施、隔离室、消毒</w:t>
      </w:r>
      <w:r>
        <w:rPr>
          <w:rFonts w:hint="eastAsia" w:ascii="方正仿宋简体" w:hAnsi="方正仿宋简体" w:eastAsia="方正仿宋简体" w:cs="方正仿宋简体"/>
          <w:color w:val="auto"/>
          <w:spacing w:val="-4"/>
          <w:sz w:val="32"/>
          <w:szCs w:val="32"/>
          <w:lang w:val="en-US" w:eastAsia="zh-CN"/>
        </w:rPr>
        <w:t>室等建设。</w:t>
      </w:r>
    </w:p>
    <w:p w14:paraId="5A341B1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（25）深化养老服务供给改革</w:t>
      </w:r>
    </w:p>
    <w:p w14:paraId="5D713B8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有效支持居家养老服务。探索设立“流动服务站”为牧区老人提供养老服务。制定居家养老服务指引，有效推进居家养老服务工作。探索为居家失能老年人和有改造需求的分散特困供养老年人建设具有连续、稳定、专业服务功</w:t>
      </w:r>
      <w:r>
        <w:rPr>
          <w:rFonts w:hint="eastAsia" w:ascii="方正仿宋简体" w:hAnsi="方正仿宋简体" w:eastAsia="方正仿宋简体" w:cs="方正仿宋简体"/>
          <w:color w:val="auto"/>
          <w:spacing w:val="-4"/>
          <w:sz w:val="32"/>
          <w:szCs w:val="32"/>
          <w:lang w:val="en-US" w:eastAsia="zh-CN"/>
        </w:rPr>
        <w:t>能的家庭养老床位，积极发展藏式护理床位及智慧型家庭养老床位。推进居家适老化改造，按照低保户、低保边缘户、一般户分类扶持，分层级做好居家养老支持。依托有资质的养老服务机构设置家庭养老床位，将专业照护服务延伸至老年人家庭，提升居家养老服务功能，并完善监管服务措施。鼓励物业、家政等上门提供老年助餐、助浴、助洁、助行、助医、助急等多样化服务，开展老年人家庭成员照护技能培训，将照护培训和老旧小区适老化改造纳入政府购买养老服务目录。</w:t>
      </w:r>
    </w:p>
    <w:p w14:paraId="0A01F8F0">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全面发展社区（牧区）养老服务。创新农村幸福院和日间照料中心运行机制，充分发挥农村幸福院和日间照料中心的社区养老服务功能，建立并完善社区养老服务设施基本服务清单。发展社区嵌入式养老服务，鼓励社会力量参与社区养老服务设施运营，支持“社区+物业+养老服务”模式，支持公办养老机构开展社区日间照护服务，为有需要的老年人提供照料护理、康复辅助、精神慰藉、文化娱乐、交通接送等服务。支持养老服务机构进社区、进家庭，鼓励社区养老服务机构开展失能老年人全托、短托等服务。发展康复辅助器具社区服务体系，支持社区养老服务机构为老年人无偿配备或低偿租赁基础型康复辅助器具并提供专业跟踪指导。</w:t>
      </w:r>
    </w:p>
    <w:p w14:paraId="1A057E8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——优化机构养老服务。深化公办养老机构改革，充分发挥公办养老机构兜底性和示范性作用，支持公办养老机构向社会老人开放，推动公办养老机构向现代化</w:t>
      </w:r>
      <w:r>
        <w:rPr>
          <w:rFonts w:hint="eastAsia" w:ascii="方正仿宋简体" w:hAnsi="方正仿宋简体" w:eastAsia="方正仿宋简体" w:cs="方正仿宋简体"/>
          <w:color w:val="auto"/>
          <w:spacing w:val="-4"/>
          <w:sz w:val="32"/>
          <w:szCs w:val="32"/>
          <w:lang w:val="en-US" w:eastAsia="zh-CN"/>
        </w:rPr>
        <w:t>管理和运营方式转变，推动其转型发展。支持社会力量举办养老机构，支持县（区）试点发展民办养老机构，完善政府扶持和税费减免优惠政策，引导和培育社会办养老机构健康发展，引导社会办养老机构重点面向中低收入群体、适度面向中高收入群体，充分发挥社会办养老机构普惠性作用，以提供多元化、普惠养老服务。鼓励养老机构向社区和家庭提供生活照护、康复护理、精神慰藉、紧急救援等专业化养老服务。优化城乡养老机构床位结构，推进护理型和普惠性养老床位建设，精准对接养老服务供给和需求。</w:t>
      </w:r>
    </w:p>
    <w:p w14:paraId="4507F13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41" w:name="_Toc7983"/>
      <w:bookmarkStart w:id="42" w:name="_Toc11615"/>
      <w:bookmarkStart w:id="43" w:name="_Toc571"/>
      <w:r>
        <w:rPr>
          <w:rFonts w:hint="eastAsia" w:ascii="方正楷体简体" w:hAnsi="方正楷体简体" w:eastAsia="方正楷体简体" w:cs="方正楷体简体"/>
          <w:b w:val="0"/>
          <w:bCs w:val="0"/>
          <w:color w:val="auto"/>
          <w:sz w:val="32"/>
          <w:szCs w:val="32"/>
          <w:lang w:val="en-US" w:eastAsia="zh-CN"/>
        </w:rPr>
        <w:t>（26）推动公办养老机构提质增效</w:t>
      </w:r>
      <w:bookmarkEnd w:id="41"/>
      <w:bookmarkEnd w:id="42"/>
      <w:bookmarkEnd w:id="43"/>
    </w:p>
    <w:p w14:paraId="66390891">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深化县（区）特困人员集中供养服务中心改革。坚持特困人员集中供养中心公益属性，探索将特困人员集中供养中心发展为县（区）养老服务中心，探索特困人员集中供养中心的普惠性养老床位建设，进一步盘活养老床位存量，优化护理型床位增量，推进护理型养老机构建设，推动特困人员集中供养中心转型发展。推动实施养老服务标准化管理，开展养老服务监测评价，鼓励开展星级评定</w:t>
      </w:r>
      <w:r>
        <w:rPr>
          <w:rFonts w:hint="default" w:ascii="方正仿宋简体" w:hAnsi="方正仿宋简体" w:eastAsia="方正仿宋简体" w:cs="方正仿宋简体"/>
          <w:color w:val="auto"/>
          <w:sz w:val="32"/>
          <w:szCs w:val="32"/>
          <w:lang w:val="en-US" w:eastAsia="zh-CN"/>
        </w:rPr>
        <w:t>。</w:t>
      </w:r>
    </w:p>
    <w:p w14:paraId="79CC0A2B">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——提升养老机构服务质量。开展养老机构在设施建设、服务流程、管理运营、安全应急、高原适应等方面的标准化建设，推动养老服务高质量发展。</w:t>
      </w:r>
      <w:r>
        <w:rPr>
          <w:rFonts w:hint="default" w:ascii="方正仿宋简体" w:hAnsi="方正仿宋简体" w:eastAsia="方正仿宋简体" w:cs="方正仿宋简体"/>
          <w:color w:val="auto"/>
          <w:sz w:val="32"/>
          <w:szCs w:val="32"/>
          <w:lang w:val="en-US" w:eastAsia="zh-CN"/>
        </w:rPr>
        <w:t>培育专业化养</w:t>
      </w:r>
      <w:r>
        <w:rPr>
          <w:rFonts w:hint="default" w:ascii="方正仿宋简体" w:hAnsi="方正仿宋简体" w:eastAsia="方正仿宋简体" w:cs="方正仿宋简体"/>
          <w:color w:val="auto"/>
          <w:kern w:val="0"/>
          <w:sz w:val="32"/>
          <w:szCs w:val="32"/>
          <w:u w:val="none"/>
          <w:lang w:val="en-US" w:eastAsia="zh-CN" w:bidi="ar"/>
        </w:rPr>
        <w:t>老服务社会组织，引导其参与养老机构服务质量评估、运营指导、人员培训等工作</w:t>
      </w:r>
      <w:r>
        <w:rPr>
          <w:rFonts w:hint="eastAsia" w:ascii="方正仿宋简体" w:hAnsi="方正仿宋简体" w:eastAsia="方正仿宋简体" w:cs="方正仿宋简体"/>
          <w:color w:val="auto"/>
          <w:kern w:val="0"/>
          <w:sz w:val="32"/>
          <w:szCs w:val="32"/>
          <w:u w:val="none"/>
          <w:lang w:val="en-US" w:eastAsia="zh-CN" w:bidi="ar"/>
        </w:rPr>
        <w:t>，助力养老服务标准化落地</w:t>
      </w:r>
      <w:r>
        <w:rPr>
          <w:rFonts w:hint="default" w:ascii="方正仿宋简体" w:hAnsi="方正仿宋简体" w:eastAsia="方正仿宋简体" w:cs="方正仿宋简体"/>
          <w:color w:val="auto"/>
          <w:kern w:val="0"/>
          <w:sz w:val="32"/>
          <w:szCs w:val="32"/>
          <w:u w:val="none"/>
          <w:lang w:val="en-US" w:eastAsia="zh-CN" w:bidi="ar"/>
        </w:rPr>
        <w:t>。</w:t>
      </w:r>
      <w:r>
        <w:rPr>
          <w:rFonts w:hint="eastAsia" w:ascii="方正仿宋简体" w:hAnsi="方正仿宋简体" w:eastAsia="方正仿宋简体" w:cs="方正仿宋简体"/>
          <w:color w:val="auto"/>
          <w:kern w:val="0"/>
          <w:sz w:val="32"/>
          <w:szCs w:val="32"/>
          <w:u w:val="none"/>
          <w:lang w:val="en-US" w:eastAsia="zh-CN" w:bidi="ar"/>
        </w:rPr>
        <w:t>推进养老服务机构和医疗机构深化合作，支持养老机构内设藏医院发展，建立健全医疗卫生机构与养老服务机构合作机制，建立健全健康指导、急救急诊、预约就诊、定期巡诊、业务指导等合作机制。深入推进医养、康养、体养有机结合，提升养老机构医疗服务</w:t>
      </w:r>
      <w:r>
        <w:rPr>
          <w:rFonts w:hint="default" w:ascii="方正仿宋简体" w:hAnsi="方正仿宋简体" w:eastAsia="方正仿宋简体" w:cs="方正仿宋简体"/>
          <w:color w:val="auto"/>
          <w:kern w:val="0"/>
          <w:sz w:val="32"/>
          <w:szCs w:val="32"/>
          <w:u w:val="none"/>
          <w:lang w:val="en-US" w:eastAsia="zh-CN" w:bidi="ar"/>
        </w:rPr>
        <w:t>和健康管理</w:t>
      </w:r>
      <w:r>
        <w:rPr>
          <w:rFonts w:hint="eastAsia" w:ascii="方正仿宋简体" w:hAnsi="方正仿宋简体" w:eastAsia="方正仿宋简体" w:cs="方正仿宋简体"/>
          <w:color w:val="auto"/>
          <w:kern w:val="0"/>
          <w:sz w:val="32"/>
          <w:szCs w:val="32"/>
          <w:u w:val="none"/>
          <w:lang w:val="en-US" w:eastAsia="zh-CN" w:bidi="ar"/>
        </w:rPr>
        <w:t>水平。加强养老机构管理类、专业技术类人才队伍建设，重点推进护理员队伍建设，完善职业技能鉴定、综合水平评价制度和激励支持政策，提升养老服务人才职业素质。推动养老机构社会工作者规范化配备。注重发挥康复辅具作用，提高老年人自理能力，改善老年人生活质量。发展智慧养老服务，开展长者智能技术运用能力提升行动，建设智慧养老机构，推动养老服务数字化转型。</w:t>
      </w:r>
    </w:p>
    <w:p w14:paraId="072BB60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养老机构服务安全保障。以满足养老服务需求为导向，实施服务设施改造提升工程，加强人员配备，整合优化资源，消除安全隐患。深入实施养老机构消防安全达标行动，全面落实养老机构消防安全管理要求，建立健全养老机构消防安全“自管”和“自律”制度，实现养老机构火灾隐患自行排查、自行整改，初起火灾自行处置的目标。</w:t>
      </w:r>
    </w:p>
    <w:p w14:paraId="5E757904">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提升养老机构应急处置能力。指导养老机构依法制定自然灾害、事故灾难、公共卫生事件等突发事件应急预案，在场所内配备报警装置和应急救援设施设备。定期开展应急知识宣传和应急演练，加强应急知识全员培训，</w:t>
      </w:r>
      <w:r>
        <w:rPr>
          <w:rFonts w:hint="eastAsia" w:ascii="方正仿宋简体" w:hAnsi="方正仿宋简体" w:eastAsia="方正仿宋简体" w:cs="方正仿宋简体"/>
          <w:color w:val="auto"/>
          <w:sz w:val="32"/>
          <w:szCs w:val="32"/>
        </w:rPr>
        <w:t>每年联合有关部门组织辖区内养老机构至少开展一次应急演练</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kern w:val="0"/>
          <w:sz w:val="32"/>
          <w:szCs w:val="32"/>
          <w:u w:val="none"/>
          <w:lang w:val="en-US" w:eastAsia="zh-CN" w:bidi="ar"/>
        </w:rPr>
        <w:t>提升公办养老机构应急救援能力。完善养老机构突发事件预防与应急准备、监测与预警、应急处置与救援、事后恢复与重建等工作机制，培育应急响应先期处置队伍。</w:t>
      </w:r>
    </w:p>
    <w:p w14:paraId="4C19E63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44" w:name="_Toc4940"/>
      <w:bookmarkStart w:id="45" w:name="_Toc27199"/>
      <w:bookmarkStart w:id="46" w:name="_Toc5109"/>
      <w:r>
        <w:rPr>
          <w:rFonts w:hint="eastAsia" w:ascii="方正楷体简体" w:hAnsi="方正楷体简体" w:eastAsia="方正楷体简体" w:cs="方正楷体简体"/>
          <w:b w:val="0"/>
          <w:bCs w:val="0"/>
          <w:color w:val="auto"/>
          <w:sz w:val="32"/>
          <w:szCs w:val="32"/>
          <w:lang w:val="en-US" w:eastAsia="zh-CN"/>
        </w:rPr>
        <w:t>（27）构建养老服务综合监管体系</w:t>
      </w:r>
      <w:bookmarkEnd w:id="44"/>
      <w:bookmarkEnd w:id="45"/>
      <w:bookmarkEnd w:id="46"/>
    </w:p>
    <w:p w14:paraId="7693B96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——加强养老服务综合监管。建立健全职责明确、分工协作的养老服务综合监管制度，强化事中事后监管，完善联合监管、质量综合评价和社会信用体系。制定综合监管方案，常态化开展安全综合检查。</w:t>
      </w:r>
    </w:p>
    <w:p w14:paraId="62A49A82">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质量安全监管。引导养老机构落实安全责任，重点排查建筑、消防、食品、医疗卫生等方面风险隐患。持续实施服务质量评估和等级评定，加强消防、食品安全等底线风险管控，健全突发事件和服务纠纷处置机制。</w:t>
      </w:r>
    </w:p>
    <w:p w14:paraId="233A654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——加强行业自律。完善养老机构登记备案管理，加强从业人员监管，规范技术人员资格准入，医疗护理、康复治疗、消防管理等专业技术人员应具备相关资格，依法打击无证无照从事养老服务行为。</w:t>
      </w:r>
    </w:p>
    <w:p w14:paraId="68000C0A">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pacing w:val="-4"/>
          <w:sz w:val="32"/>
          <w:szCs w:val="32"/>
          <w:lang w:val="en-US" w:eastAsia="zh-CN"/>
        </w:rPr>
      </w:pPr>
      <w:r>
        <w:rPr>
          <w:rFonts w:hint="eastAsia" w:ascii="方正仿宋简体" w:hAnsi="方正仿宋简体" w:eastAsia="方正仿宋简体" w:cs="方正仿宋简体"/>
          <w:color w:val="auto"/>
          <w:sz w:val="32"/>
          <w:szCs w:val="32"/>
          <w:lang w:val="en-US" w:eastAsia="zh-CN"/>
        </w:rPr>
        <w:t>——加强养老应急救援建设。建立健全养老服务安全风险分级管控和隐患排查治理制度，引导机构优化内部管理、规范服务行为，实现安全风险自辨自控、隐患自查自治，提升安全生产整体防控能力。</w:t>
      </w:r>
    </w:p>
    <w:p w14:paraId="366DB731">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80" w:lineRule="exact"/>
        <w:jc w:val="center"/>
        <w:textAlignment w:val="auto"/>
        <w:outlineLvl w:val="1"/>
        <w:rPr>
          <w:rFonts w:hint="eastAsia" w:ascii="方正仿宋简体" w:hAnsi="方正仿宋简体" w:eastAsia="方正仿宋简体" w:cs="方正仿宋简体"/>
          <w:b w:val="0"/>
          <w:bCs w:val="0"/>
          <w:color w:val="auto"/>
          <w:spacing w:val="-4"/>
          <w:sz w:val="28"/>
          <w:szCs w:val="28"/>
          <w:lang w:val="en-US" w:eastAsia="zh-CN"/>
        </w:rPr>
      </w:pPr>
      <w:bookmarkStart w:id="47" w:name="_Toc4543"/>
      <w:r>
        <w:rPr>
          <w:rFonts w:hint="eastAsia" w:ascii="方正仿宋简体" w:hAnsi="方正仿宋简体" w:eastAsia="方正仿宋简体" w:cs="方正仿宋简体"/>
          <w:b w:val="0"/>
          <w:bCs w:val="0"/>
          <w:color w:val="auto"/>
          <w:spacing w:val="-4"/>
          <w:sz w:val="28"/>
          <w:szCs w:val="28"/>
          <w:lang w:val="en-US" w:eastAsia="zh-CN"/>
        </w:rPr>
        <w:t>专栏一：构建四级养老服务体系工程</w:t>
      </w:r>
      <w:bookmarkEnd w:id="47"/>
    </w:p>
    <w:p w14:paraId="19061209">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pacing w:val="-4"/>
          <w:sz w:val="28"/>
          <w:szCs w:val="28"/>
          <w:lang w:val="en-US" w:eastAsia="zh-CN"/>
        </w:rPr>
        <w:t>健全城乡四级养老服</w:t>
      </w:r>
      <w:r>
        <w:rPr>
          <w:rFonts w:hint="eastAsia" w:ascii="方正仿宋简体" w:hAnsi="方正仿宋简体" w:eastAsia="方正仿宋简体" w:cs="方正仿宋简体"/>
          <w:b w:val="0"/>
          <w:bCs w:val="0"/>
          <w:color w:val="auto"/>
          <w:spacing w:val="-4"/>
          <w:sz w:val="28"/>
          <w:szCs w:val="28"/>
          <w:lang w:val="en-US" w:eastAsia="zh-CN"/>
        </w:rPr>
        <w:t>务网络工程。全面设置村级养老服务点，继续建设农村幸福院，升级改造特困人员集中供养中心</w:t>
      </w:r>
      <w:r>
        <w:rPr>
          <w:rFonts w:hint="eastAsia" w:ascii="方正仿宋简体" w:hAnsi="方正仿宋简体" w:eastAsia="方正仿宋简体" w:cs="方正仿宋简体"/>
          <w:color w:val="auto"/>
          <w:spacing w:val="-4"/>
          <w:sz w:val="28"/>
          <w:szCs w:val="28"/>
          <w:lang w:val="en-US" w:eastAsia="zh-CN"/>
        </w:rPr>
        <w:t>，设置综合养老服务中心，制定全市养老服务设施专项规划，健全养老服务设施网络。</w:t>
      </w:r>
    </w:p>
    <w:p w14:paraId="0ED3D948">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pacing w:val="-4"/>
          <w:sz w:val="28"/>
          <w:szCs w:val="28"/>
          <w:lang w:val="en-US" w:eastAsia="zh-CN"/>
        </w:rPr>
        <w:t>养老服务机构提质工程。实施养老机构人才队伍能力提升工程，加强管理、护理、医疗、康复、社会工作、健康管理等岗位专业能力的提升。实施养老机构规范化建设工程，提升养老机构规范管理和服务的水平，全面提高养老服务质量。</w:t>
      </w:r>
    </w:p>
    <w:p w14:paraId="37C98A7A">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3.</w:t>
      </w:r>
      <w:r>
        <w:rPr>
          <w:rFonts w:hint="eastAsia" w:ascii="方正仿宋简体" w:hAnsi="方正仿宋简体" w:eastAsia="方正仿宋简体" w:cs="方正仿宋简体"/>
          <w:color w:val="auto"/>
          <w:spacing w:val="-4"/>
          <w:sz w:val="28"/>
          <w:szCs w:val="28"/>
          <w:lang w:val="en-US" w:eastAsia="zh-CN"/>
        </w:rPr>
        <w:t>民办养老机构发展工程。加大政策支持力度，支持县（区）推动民办养老机构孵化、培育。</w:t>
      </w:r>
    </w:p>
    <w:p w14:paraId="1DF1B0B9">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2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4.</w:t>
      </w:r>
      <w:r>
        <w:rPr>
          <w:rFonts w:hint="eastAsia" w:ascii="方正仿宋简体" w:hAnsi="方正仿宋简体" w:eastAsia="方正仿宋简体" w:cs="方正仿宋简体"/>
          <w:color w:val="auto"/>
          <w:spacing w:val="-4"/>
          <w:sz w:val="28"/>
          <w:szCs w:val="28"/>
          <w:lang w:val="en-US" w:eastAsia="zh-CN"/>
        </w:rPr>
        <w:t>基本养老服务保障工程。将经济困难的孤寡、失能、失智、高龄、计划生育特殊家庭的老年人作为基本养老服务制度的重点保障对象，建立基本养老服务清单。开展老年人能力与需求综合评估，建立基本养老服务对象数据库，提高养老服务和老年人补贴等制度精准度。</w:t>
      </w:r>
    </w:p>
    <w:p w14:paraId="6564F9B5">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48" w:name="_Toc2385"/>
      <w:bookmarkStart w:id="49" w:name="_Toc26730"/>
      <w:bookmarkStart w:id="50" w:name="_Toc27651"/>
      <w:bookmarkStart w:id="51" w:name="_Toc2559"/>
      <w:bookmarkStart w:id="52" w:name="_Toc24465"/>
      <w:r>
        <w:rPr>
          <w:rFonts w:hint="eastAsia" w:ascii="方正楷体简体" w:hAnsi="方正楷体简体" w:eastAsia="方正楷体简体" w:cs="方正楷体简体"/>
          <w:b w:val="0"/>
          <w:bCs/>
          <w:color w:val="auto"/>
          <w:sz w:val="32"/>
          <w:szCs w:val="32"/>
          <w:lang w:val="en-US" w:eastAsia="zh-CN"/>
        </w:rPr>
        <w:t>第八节 完善分层分类社会救助体系</w:t>
      </w:r>
      <w:bookmarkEnd w:id="48"/>
      <w:bookmarkEnd w:id="49"/>
      <w:bookmarkEnd w:id="50"/>
      <w:bookmarkEnd w:id="51"/>
      <w:bookmarkEnd w:id="52"/>
    </w:p>
    <w:p w14:paraId="7829A3C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方正仿宋简体" w:hAnsi="方正仿宋简体" w:eastAsia="方正仿宋简体" w:cs="方正仿宋简体"/>
          <w:color w:val="auto"/>
          <w:kern w:val="2"/>
          <w:sz w:val="32"/>
          <w:szCs w:val="32"/>
          <w:lang w:val="en-US" w:eastAsia="zh-CN" w:bidi="ar-SA"/>
        </w:rPr>
      </w:pPr>
      <w:r>
        <w:rPr>
          <w:rFonts w:hint="eastAsia" w:ascii="方正仿宋简体" w:hAnsi="方正仿宋简体" w:eastAsia="方正仿宋简体" w:cs="方正仿宋简体"/>
          <w:color w:val="auto"/>
          <w:kern w:val="2"/>
          <w:sz w:val="32"/>
          <w:szCs w:val="32"/>
          <w:lang w:val="en-US" w:eastAsia="zh-CN" w:bidi="ar-SA"/>
        </w:rPr>
        <w:t>按照逐步普惠的要求，以健全救助政策制度、完善救助体系、提升服务能力、统筹救助资源为重点，构建精准、智慧、高效的分层分类社会救助体系，实现社会救助高质量发展，让更多群众共享改革发展成果。</w:t>
      </w:r>
    </w:p>
    <w:p w14:paraId="5FE8455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53" w:name="_Toc9873"/>
      <w:bookmarkStart w:id="54" w:name="_Toc23780"/>
      <w:bookmarkStart w:id="55" w:name="_Toc19256"/>
      <w:bookmarkStart w:id="56" w:name="_Toc32493"/>
      <w:bookmarkStart w:id="57" w:name="_Toc7893"/>
      <w:bookmarkStart w:id="58" w:name="_Toc10383"/>
      <w:r>
        <w:rPr>
          <w:rFonts w:hint="eastAsia" w:ascii="方正楷体简体" w:hAnsi="方正楷体简体" w:eastAsia="方正楷体简体" w:cs="方正楷体简体"/>
          <w:b w:val="0"/>
          <w:bCs w:val="0"/>
          <w:color w:val="auto"/>
          <w:sz w:val="32"/>
          <w:szCs w:val="32"/>
          <w:lang w:val="en-US" w:eastAsia="zh-CN"/>
        </w:rPr>
        <w:t>（28）健全社会救助政策制度</w:t>
      </w:r>
      <w:bookmarkEnd w:id="53"/>
      <w:bookmarkEnd w:id="54"/>
      <w:bookmarkEnd w:id="55"/>
    </w:p>
    <w:p w14:paraId="4A98F835">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lang w:val="en-US" w:eastAsia="zh-CN"/>
        </w:rPr>
        <w:t>——</w:t>
      </w:r>
      <w:r>
        <w:rPr>
          <w:rFonts w:hint="eastAsia" w:ascii="方正仿宋简体" w:hAnsi="方正仿宋简体" w:eastAsia="方正仿宋简体" w:cs="方正仿宋简体"/>
          <w:color w:val="auto"/>
          <w:sz w:val="32"/>
          <w:szCs w:val="32"/>
        </w:rPr>
        <w:t>完善救助标准动态调整制度。统筹考虑生活水平、物价指数、社会保障等相关因素，</w:t>
      </w:r>
      <w:r>
        <w:rPr>
          <w:rFonts w:hint="eastAsia" w:ascii="方正仿宋简体" w:hAnsi="方正仿宋简体" w:eastAsia="方正仿宋简体" w:cs="方正仿宋简体"/>
          <w:color w:val="auto"/>
          <w:sz w:val="32"/>
          <w:szCs w:val="32"/>
          <w:lang w:val="en-US" w:eastAsia="zh-CN"/>
        </w:rPr>
        <w:t>按照自治区民政厅的相关要求，</w:t>
      </w:r>
      <w:r>
        <w:rPr>
          <w:rFonts w:hint="eastAsia" w:ascii="方正仿宋简体" w:hAnsi="方正仿宋简体" w:eastAsia="方正仿宋简体" w:cs="方正仿宋简体"/>
          <w:color w:val="auto"/>
          <w:sz w:val="32"/>
          <w:szCs w:val="32"/>
        </w:rPr>
        <w:t>完善城乡低保标准与城镇居民人均可支配收入、人均消费支出统筹联动的调整机制。动态调整城乡低保、特困人员、低收入家庭认定等标准，确保困难群众救助保障水平与经济社会发展协调适应。</w:t>
      </w:r>
    </w:p>
    <w:p w14:paraId="1A7C83D9">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w:t>
      </w:r>
      <w:r>
        <w:rPr>
          <w:rFonts w:hint="eastAsia" w:ascii="方正仿宋简体" w:hAnsi="方正仿宋简体" w:eastAsia="方正仿宋简体" w:cs="方正仿宋简体"/>
          <w:color w:val="auto"/>
          <w:sz w:val="32"/>
          <w:szCs w:val="32"/>
        </w:rPr>
        <w:t>建立健全分层分类保障制度</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积极</w:t>
      </w:r>
      <w:r>
        <w:rPr>
          <w:rFonts w:hint="eastAsia" w:ascii="方正仿宋简体" w:hAnsi="方正仿宋简体" w:eastAsia="方正仿宋简体" w:cs="方正仿宋简体"/>
          <w:color w:val="auto"/>
          <w:sz w:val="32"/>
          <w:szCs w:val="32"/>
        </w:rPr>
        <w:t>推动</w:t>
      </w:r>
      <w:r>
        <w:rPr>
          <w:rFonts w:hint="eastAsia" w:ascii="方正仿宋简体" w:hAnsi="方正仿宋简体" w:eastAsia="方正仿宋简体" w:cs="方正仿宋简体"/>
          <w:color w:val="auto"/>
          <w:sz w:val="32"/>
          <w:szCs w:val="32"/>
          <w:lang w:eastAsia="zh-CN"/>
        </w:rPr>
        <w:t>制定</w:t>
      </w:r>
      <w:r>
        <w:rPr>
          <w:rFonts w:hint="eastAsia" w:ascii="方正仿宋简体" w:hAnsi="方正仿宋简体" w:eastAsia="方正仿宋简体" w:cs="方正仿宋简体"/>
          <w:color w:val="auto"/>
          <w:sz w:val="32"/>
          <w:szCs w:val="32"/>
        </w:rPr>
        <w:t>社会救助地方</w:t>
      </w:r>
      <w:r>
        <w:rPr>
          <w:rFonts w:hint="eastAsia" w:ascii="方正仿宋简体" w:hAnsi="方正仿宋简体" w:eastAsia="方正仿宋简体" w:cs="方正仿宋简体"/>
          <w:color w:val="auto"/>
          <w:sz w:val="32"/>
          <w:szCs w:val="32"/>
          <w:lang w:val="en-US" w:eastAsia="zh-CN"/>
        </w:rPr>
        <w:t>管理细则</w:t>
      </w:r>
      <w:r>
        <w:rPr>
          <w:rFonts w:hint="eastAsia" w:ascii="方正仿宋简体" w:hAnsi="方正仿宋简体" w:eastAsia="方正仿宋简体" w:cs="方正仿宋简体"/>
          <w:color w:val="auto"/>
          <w:sz w:val="32"/>
          <w:szCs w:val="32"/>
        </w:rPr>
        <w:t>，建立解决相对贫困的长效机制，健全完善以最低生活保障为基础，医疗、教育、住房、就业</w:t>
      </w:r>
      <w:r>
        <w:rPr>
          <w:rFonts w:hint="eastAsia" w:ascii="方正仿宋简体" w:hAnsi="方正仿宋简体" w:eastAsia="方正仿宋简体" w:cs="方正仿宋简体"/>
          <w:color w:val="auto"/>
          <w:kern w:val="0"/>
          <w:sz w:val="32"/>
          <w:szCs w:val="32"/>
        </w:rPr>
        <w:t>、采暖等专项救助</w:t>
      </w:r>
      <w:r>
        <w:rPr>
          <w:rFonts w:hint="eastAsia" w:ascii="方正仿宋简体" w:hAnsi="方正仿宋简体" w:eastAsia="方正仿宋简体" w:cs="方正仿宋简体"/>
          <w:color w:val="auto"/>
          <w:kern w:val="0"/>
          <w:sz w:val="32"/>
          <w:szCs w:val="32"/>
          <w:lang w:eastAsia="zh-CN"/>
        </w:rPr>
        <w:t>与</w:t>
      </w:r>
      <w:r>
        <w:rPr>
          <w:rFonts w:hint="eastAsia" w:ascii="方正仿宋简体" w:hAnsi="方正仿宋简体" w:eastAsia="方正仿宋简体" w:cs="方正仿宋简体"/>
          <w:color w:val="auto"/>
          <w:kern w:val="0"/>
          <w:sz w:val="32"/>
          <w:szCs w:val="32"/>
        </w:rPr>
        <w:t>临时救助相结合的社会救助</w:t>
      </w:r>
      <w:r>
        <w:rPr>
          <w:rFonts w:hint="eastAsia" w:ascii="方正仿宋简体" w:hAnsi="方正仿宋简体" w:eastAsia="方正仿宋简体" w:cs="方正仿宋简体"/>
          <w:color w:val="auto"/>
          <w:kern w:val="0"/>
          <w:sz w:val="32"/>
          <w:szCs w:val="32"/>
          <w:lang w:eastAsia="zh-CN"/>
        </w:rPr>
        <w:t>制度</w:t>
      </w:r>
      <w:r>
        <w:rPr>
          <w:rFonts w:hint="eastAsia" w:ascii="方正仿宋简体" w:hAnsi="方正仿宋简体" w:eastAsia="方正仿宋简体" w:cs="方正仿宋简体"/>
          <w:color w:val="auto"/>
          <w:kern w:val="0"/>
          <w:sz w:val="32"/>
          <w:szCs w:val="32"/>
        </w:rPr>
        <w:t>。</w:t>
      </w:r>
      <w:r>
        <w:rPr>
          <w:rFonts w:hint="eastAsia" w:ascii="方正仿宋简体" w:hAnsi="方正仿宋简体" w:eastAsia="方正仿宋简体" w:cs="方正仿宋简体"/>
          <w:color w:val="auto"/>
          <w:sz w:val="32"/>
          <w:szCs w:val="32"/>
        </w:rPr>
        <w:t>区分收入不足、支出过大、专项需求、突发急难等救助需要，精准制定救助措施，形成分类分层、精准保障的救助制度</w:t>
      </w:r>
      <w:r>
        <w:rPr>
          <w:rFonts w:hint="eastAsia" w:ascii="方正仿宋简体" w:hAnsi="方正仿宋简体" w:eastAsia="方正仿宋简体" w:cs="方正仿宋简体"/>
          <w:color w:val="auto"/>
          <w:sz w:val="32"/>
          <w:szCs w:val="32"/>
          <w:lang w:eastAsia="zh-CN"/>
        </w:rPr>
        <w:t>体系。</w:t>
      </w:r>
      <w:r>
        <w:rPr>
          <w:rFonts w:hint="eastAsia" w:ascii="方正仿宋简体" w:hAnsi="方正仿宋简体" w:eastAsia="方正仿宋简体" w:cs="方正仿宋简体"/>
          <w:color w:val="auto"/>
          <w:sz w:val="32"/>
          <w:szCs w:val="32"/>
          <w:lang w:val="en-US" w:eastAsia="zh-CN"/>
        </w:rPr>
        <w:t>推行“一户一策”综合帮扶，有效减轻困难群众的生活负担，防止特殊原因导致基本生活陷入困境。</w:t>
      </w:r>
    </w:p>
    <w:p w14:paraId="17214DE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9"/>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——推动</w:t>
      </w:r>
      <w:r>
        <w:rPr>
          <w:rFonts w:hint="eastAsia" w:ascii="方正仿宋简体" w:hAnsi="方正仿宋简体" w:eastAsia="方正仿宋简体" w:cs="方正仿宋简体"/>
          <w:color w:val="auto"/>
          <w:sz w:val="32"/>
          <w:szCs w:val="32"/>
        </w:rPr>
        <w:t>开展服务类社会救助</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加快服务类社会救助创新发展，</w:t>
      </w:r>
      <w:r>
        <w:rPr>
          <w:rFonts w:hint="eastAsia" w:ascii="方正仿宋简体" w:hAnsi="方正仿宋简体" w:eastAsia="方正仿宋简体" w:cs="方正仿宋简体"/>
          <w:color w:val="auto"/>
          <w:sz w:val="32"/>
          <w:szCs w:val="32"/>
        </w:rPr>
        <w:t>探索形成“物质+服务”的救助模式</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探索政府购买社会救助服务模式，引导社会力量参与社会救助事务，为救助对象提供物质保障、生活照料、精神慰藉、心理疏导、能力提升和社会融入等服务，帮助救助对象构建家庭和社会支持网络，实现救助服务从生存型向预防、生存、发展全过程救助模式转变。</w:t>
      </w:r>
    </w:p>
    <w:p w14:paraId="5A8FBFB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（29）构建分层分类的社会救助体系</w:t>
      </w:r>
      <w:bookmarkEnd w:id="56"/>
      <w:bookmarkEnd w:id="57"/>
      <w:bookmarkEnd w:id="58"/>
    </w:p>
    <w:p w14:paraId="62653CF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分层分类社会救助体系。建立健全以基本生活救助、专项社会救助、急难社会救助为主体，以社会力量参与为补充，与其他保障制度相衔接的分层分类社会救助体系。强化常态化救助帮扶，保障好低保对象、特困供养人员基本生活，稳步扩大救助范围，加强低保边缘家庭、刚性支出困难家庭、易致贫易返贫人员的救助工作。完善低保审核确认办法，规范低保对象认定程序，提高科学性和精准度。完善低保渐退制度，完善低保边缘家庭和刚性支出困难家庭认定。将专项救助拓展至低保边缘家庭成员、刚性支出困难家庭成员等低收入人口，加快形成梯度救助格局。强化县（区）层面困难群众基本生活保障工作协调，加强困难群众医疗、教育、住房、就业等专项救助资源统筹。使救助对象逐步有序扩大，更多、更公平地惠及困难群众，推动实现“弱有众扶”。</w:t>
      </w:r>
    </w:p>
    <w:p w14:paraId="3C65DFD8">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大临时救助力度。全面完善县（区）临时救助备用金制度，提升救助实效。加强急难社会救助，持续实施基本生活困难急难型和支出型临时救助，依据困难情况分类予以救助。做好突发事件困难群众急难救助工作，畅通急难社会救助申请和急难情况主动发现、及时报告渠道，建立健全快速响应、一事一议、个案会商“救急难”工作机制。</w:t>
      </w:r>
    </w:p>
    <w:p w14:paraId="7369412C">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流浪乞讨人员救助。加强和改进生活无着流浪乞讨人员救助管理，为遭遇突发性、紧迫性、灾难性困难的群众提供应急性、过渡性生活保障。加强市救助站和县（区）救助点建设，推动区域内救助网络更加紧密、资源配置更加优化、权责关系更加明晰、工作运转更加顺畅、服务保障更加高效。完善救助站设施设备配置，提高救助站内照料服务质量，提升站内照料服务水平。健全相关工作机制，做好冬季特殊时期保障，完善街面巡查工作机制，建立市、县（区）、乡镇（街道）、村（社区）“四级联动”救助机制，加强流浪乞讨救助工作。建立易流浪走失人员和返乡人员信息台账，定期通报流浪乞讨人员情况，积极开展流浪乞讨返乡人员的定期回访工作，帮助解决返乡人员交通费、食宿费、医疗等困难，减少反复流浪乞讨现象。</w:t>
      </w:r>
    </w:p>
    <w:p w14:paraId="4632E20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bookmarkStart w:id="59" w:name="_Toc31213"/>
      <w:bookmarkStart w:id="60" w:name="_Toc18326"/>
      <w:bookmarkStart w:id="61" w:name="_Toc8111"/>
      <w:r>
        <w:rPr>
          <w:rFonts w:hint="eastAsia" w:ascii="方正楷体简体" w:hAnsi="方正楷体简体" w:eastAsia="方正楷体简体" w:cs="方正楷体简体"/>
          <w:b w:val="0"/>
          <w:bCs w:val="0"/>
          <w:color w:val="auto"/>
          <w:sz w:val="32"/>
          <w:szCs w:val="32"/>
          <w:lang w:val="en-US" w:eastAsia="zh-CN"/>
        </w:rPr>
        <w:t>（30）提升社会救助服务</w:t>
      </w:r>
      <w:bookmarkEnd w:id="59"/>
      <w:bookmarkEnd w:id="60"/>
      <w:bookmarkEnd w:id="61"/>
      <w:r>
        <w:rPr>
          <w:rFonts w:hint="eastAsia" w:ascii="方正楷体简体" w:hAnsi="方正楷体简体" w:eastAsia="方正楷体简体" w:cs="方正楷体简体"/>
          <w:b w:val="0"/>
          <w:bCs w:val="0"/>
          <w:color w:val="auto"/>
          <w:sz w:val="32"/>
          <w:szCs w:val="32"/>
          <w:lang w:val="en-US" w:eastAsia="zh-CN"/>
        </w:rPr>
        <w:t>能力</w:t>
      </w:r>
    </w:p>
    <w:p w14:paraId="6054E745">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创新社会救助工作机制。健全低收入人口动态监测机制，依托全国社会救助信息系统，健全定期更新、动态调整工作机制，拓展低收入人口动态监测信息平台功能应用，健全多部门联动的风险预警、综合研判和快速处置机制。完善最低生活保障审核确认办法，推动部门信息互联互通和数据共享共用，形成无缝衔接、精准高效的社会救助对象认定机制。建立“主动发现”机制，充分发挥村（社区）干部、党员、村民代表、志愿者作用，广泛走访排查，及时发现困难群众救助需求，通过县（区）、乡镇（街道）、村（社区）三级联动，及时给予相应救助，切实保障困难群众基本生活。发挥市级社会救助工作联席会议议事平台作用，重点研究解决社会救助中存在的壁垒和障碍，着力解决急难性、个别化、跨部门问题，实现高效社会救助。</w:t>
      </w:r>
    </w:p>
    <w:p w14:paraId="3D716511">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精准救助服务体系。完善主动发现机制，持续加大“政策找人”落实力度，实现应助尽助。完善社区特殊困难群体关怀关爱机制，将留守儿童、困境儿童、重度残疾人等特殊困难群体纳入重点关爱对象范围。发挥街道、乡镇贴近群众、熟悉情况的优势，强化街道、乡镇的社会救助责任，改善保障条件，</w:t>
      </w:r>
      <w:r>
        <w:rPr>
          <w:rFonts w:hint="default" w:ascii="方正仿宋简体" w:hAnsi="方正仿宋简体" w:eastAsia="方正仿宋简体" w:cs="方正仿宋简体"/>
          <w:color w:val="auto"/>
          <w:sz w:val="32"/>
          <w:szCs w:val="32"/>
          <w:lang w:val="en-US" w:eastAsia="zh-CN"/>
        </w:rPr>
        <w:t>在自治区统一部署下，依法依规探索推动社会救助确认权限有序下放至乡镇人民政府、街道办事处</w:t>
      </w:r>
      <w:r>
        <w:rPr>
          <w:rFonts w:hint="eastAsia" w:ascii="方正仿宋简体" w:hAnsi="方正仿宋简体" w:eastAsia="方正仿宋简体" w:cs="方正仿宋简体"/>
          <w:color w:val="auto"/>
          <w:sz w:val="32"/>
          <w:szCs w:val="32"/>
          <w:lang w:val="en-US" w:eastAsia="zh-CN"/>
        </w:rPr>
        <w:t>，确保工作落地落实。明确县级民政监督管理责任，确保下放顺畅、取得实效。做强基层社会救助服务，完善街道、乡镇困难群众救助服务所工作机制，综合提供一揽子、精准化救助服务，畅通民生保障“最后一公里”，实现精准社会救助。</w:t>
      </w:r>
    </w:p>
    <w:p w14:paraId="4056F87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——建立健全社会救助信息平台。强化数字赋能，做强智慧社会救助。适应人户分离实际，打破户籍限制，全面实施社</w:t>
      </w:r>
      <w:r>
        <w:rPr>
          <w:rFonts w:hint="eastAsia" w:ascii="方正仿宋简体" w:hAnsi="方正仿宋简体" w:eastAsia="方正仿宋简体" w:cs="方正仿宋简体"/>
          <w:color w:val="auto"/>
          <w:sz w:val="32"/>
          <w:szCs w:val="32"/>
        </w:rPr>
        <w:t>会救助“一网通办、全市通办、掌上办理”服务模式，让民政服务更便捷、更可及、更规范。充分运用申请救助居民家庭经济状况核对信息系统，不断规范核对工作，提升核对事业服务民生保障工作的能力和水平。加强低收入人口动态监测，运用“大数据比对</w:t>
      </w:r>
      <w:r>
        <w:rPr>
          <w:rFonts w:hint="eastAsia" w:ascii="方正仿宋简体" w:hAnsi="方正仿宋简体" w:eastAsia="方正仿宋简体" w:cs="方正仿宋简体"/>
          <w:color w:val="auto"/>
          <w:sz w:val="32"/>
          <w:szCs w:val="32"/>
          <w:lang w:val="en-US" w:eastAsia="zh-CN"/>
        </w:rPr>
        <w:t>+铁脚板摸排”等方式，确保困难群众有困难时能及时被发现，需要救助时能及时得到救助帮扶。加快推进大数据、人工智能等新技术新产品的运用，优化社会救助事务审核确认流程，推动数据资源集成化、动态监测预警智能化、救助服务便捷化，实现智慧社会救助。</w:t>
      </w:r>
    </w:p>
    <w:p w14:paraId="31F32143">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bookmarkStart w:id="62" w:name="_Toc20554"/>
      <w:bookmarkStart w:id="63" w:name="_Toc2817"/>
      <w:bookmarkStart w:id="64" w:name="_Toc13856"/>
      <w:r>
        <w:rPr>
          <w:rFonts w:hint="eastAsia" w:ascii="方正楷体简体" w:hAnsi="方正楷体简体" w:eastAsia="方正楷体简体" w:cs="方正楷体简体"/>
          <w:b w:val="0"/>
          <w:bCs w:val="0"/>
          <w:color w:val="auto"/>
          <w:sz w:val="32"/>
          <w:szCs w:val="32"/>
          <w:lang w:val="en-US" w:eastAsia="zh-CN"/>
        </w:rPr>
        <w:t>（31）推动社会救助社会参与</w:t>
      </w:r>
      <w:bookmarkEnd w:id="62"/>
      <w:bookmarkEnd w:id="63"/>
      <w:bookmarkEnd w:id="64"/>
    </w:p>
    <w:p w14:paraId="747D9F36">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——健全社会主体参与社会救助制度机制。广泛调动社会力量参与社会救助，健全完善社会组织、慈善组织、志愿服务组织、基层组织等各类社会主体参与社会救助制度机制。</w:t>
      </w:r>
    </w:p>
    <w:p w14:paraId="0243F5F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多元主体协同参与社会救助体系。深入推行政府购买服务的方式，完善政府购买社会救助服务制度，明确购买目录、服务标准与绩效评价，引入社会工作专业力量，综合提供家庭探访、入户核查、申请协助、关爱服务、心理疏导、社会融入等个案帮扶服务；健全“物质+服务”救助模式，完善政府主导、社会力量参与、多元协同的救助体系。</w:t>
      </w:r>
    </w:p>
    <w:p w14:paraId="47A9430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进政府救助与慈善帮扶有效衔接，推动“慈善+救助”融合发展。建立社会组织参与慈善救助的渠道，动态调配慈善资源。大力发展慈善事业和志愿服务，培育一批服务老年人、残疾人、困境儿童、流浪人员等特殊群体的专业社会组织。建立慈善资源与政府救助需求的匹配对接平台，定期发布困难群体“需求清单”，鼓励社会力量认领项目、对接救助。通过有序推进社会力量参与社会救助，形成弱有众扶的工作格局，实现温暖社会救助。</w:t>
      </w:r>
    </w:p>
    <w:p w14:paraId="04FE18C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65" w:name="_Toc7107"/>
      <w:bookmarkStart w:id="66" w:name="_Toc30107"/>
      <w:bookmarkStart w:id="67" w:name="_Toc14436"/>
      <w:r>
        <w:rPr>
          <w:rFonts w:hint="eastAsia" w:ascii="方正楷体简体" w:hAnsi="方正楷体简体" w:eastAsia="方正楷体简体" w:cs="方正楷体简体"/>
          <w:b w:val="0"/>
          <w:bCs w:val="0"/>
          <w:color w:val="auto"/>
          <w:sz w:val="32"/>
          <w:szCs w:val="32"/>
          <w:lang w:val="en-US" w:eastAsia="zh-CN"/>
        </w:rPr>
        <w:t>（32）强化社会救助</w:t>
      </w:r>
      <w:bookmarkEnd w:id="65"/>
      <w:bookmarkEnd w:id="66"/>
      <w:bookmarkEnd w:id="67"/>
      <w:r>
        <w:rPr>
          <w:rFonts w:hint="eastAsia" w:ascii="方正楷体简体" w:hAnsi="方正楷体简体" w:eastAsia="方正楷体简体" w:cs="方正楷体简体"/>
          <w:b w:val="0"/>
          <w:bCs w:val="0"/>
          <w:color w:val="auto"/>
          <w:sz w:val="32"/>
          <w:szCs w:val="32"/>
          <w:lang w:val="en-US" w:eastAsia="zh-CN"/>
        </w:rPr>
        <w:t>服务保障</w:t>
      </w:r>
    </w:p>
    <w:p w14:paraId="2C4A4BD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基层经办能力和专业队伍建设。夯实基层救助力量，提高兜底保障“最后一公里”服务能力。构建多层次专业人才梯队，加强民政干部、社会工作者、社区志愿者的协同合作，为特殊困难群体提供更加精准贴心的服务。实施基层社会救助能力提升工程，提高基层救助工作人员道德素质、业务能力，增强服务意识，切实提高民政工作基础性服务能力。定期组织基层救助工作人员交流观摩和案例研讨，提高疑难复杂案例处置能力。</w:t>
      </w:r>
      <w:r>
        <w:rPr>
          <w:rFonts w:hint="default" w:ascii="方正仿宋简体" w:hAnsi="方正仿宋简体" w:eastAsia="方正仿宋简体" w:cs="方正仿宋简体"/>
          <w:color w:val="auto"/>
          <w:sz w:val="32"/>
          <w:szCs w:val="32"/>
          <w:lang w:val="en-US" w:eastAsia="zh-CN"/>
        </w:rPr>
        <w:t>健全督查指导和激励关怀机制，加强对基层一线救助人员的关心关爱，按照国家及自治区有关规定做好相关表彰奖励工作</w:t>
      </w:r>
      <w:r>
        <w:rPr>
          <w:rFonts w:hint="eastAsia" w:ascii="方正仿宋简体" w:hAnsi="方正仿宋简体" w:eastAsia="方正仿宋简体" w:cs="方正仿宋简体"/>
          <w:color w:val="auto"/>
          <w:sz w:val="32"/>
          <w:szCs w:val="32"/>
          <w:lang w:val="en-US" w:eastAsia="zh-CN"/>
        </w:rPr>
        <w:t>，激发他们长期扎根艰苦地区、服务困难群众的积极性。</w:t>
      </w:r>
    </w:p>
    <w:p w14:paraId="73A14C84">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市级督查和县级自查相结合的制度体系。持续深化社会救助领域专项治理，加大社会救助资金监管力度，突出事中事后监管，健全审计监督制度，建立社会救助经办人员、城乡社区工作人员的近亲属享受社会救助的备案制度，用好困难群众的救助资金，常态化整治骗取套取、挤占挪用、贪污侵占困难群众救助资金等违纪违法行为。建立社会救助资金追缴和失信人员信用惩戒机制，确保救助资金规范安全有效运作。</w:t>
      </w:r>
    </w:p>
    <w:p w14:paraId="705FD159">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督促救助机构做好规范、精准、高效的安全管理。压实部门监管责任，加强教育培训和隐患排查，指导救助管理机构落实安全生产主体责任，经常性开展风险自查和应急演练，确保不发生冲击社会道德底线的事件。</w:t>
      </w:r>
    </w:p>
    <w:p w14:paraId="72820C6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——强化民政领域风险防范。把“兜底线”摆在首要位置，全力做好当前民政领域安全稳定风险防控工作，切实维护好广大民政服务对象基本权益，保障民政服务机构安全稳定。</w:t>
      </w:r>
    </w:p>
    <w:p w14:paraId="0EADD171">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80" w:lineRule="exact"/>
        <w:jc w:val="center"/>
        <w:textAlignment w:val="auto"/>
        <w:outlineLvl w:val="1"/>
        <w:rPr>
          <w:rFonts w:hint="eastAsia" w:ascii="方正仿宋简体" w:hAnsi="方正仿宋简体" w:eastAsia="方正仿宋简体" w:cs="方正仿宋简体"/>
          <w:b w:val="0"/>
          <w:bCs w:val="0"/>
          <w:color w:val="auto"/>
          <w:spacing w:val="-4"/>
          <w:sz w:val="28"/>
          <w:szCs w:val="28"/>
          <w:lang w:val="en-US" w:eastAsia="zh-CN"/>
        </w:rPr>
      </w:pPr>
      <w:bookmarkStart w:id="68" w:name="_Toc17747"/>
      <w:r>
        <w:rPr>
          <w:rFonts w:hint="eastAsia" w:ascii="方正仿宋简体" w:hAnsi="方正仿宋简体" w:eastAsia="方正仿宋简体" w:cs="方正仿宋简体"/>
          <w:b w:val="0"/>
          <w:bCs w:val="0"/>
          <w:color w:val="auto"/>
          <w:spacing w:val="-4"/>
          <w:sz w:val="28"/>
          <w:szCs w:val="28"/>
          <w:lang w:val="en-US" w:eastAsia="zh-CN"/>
        </w:rPr>
        <w:t>专栏二：智慧社会救助体系构建工程</w:t>
      </w:r>
      <w:bookmarkEnd w:id="68"/>
    </w:p>
    <w:p w14:paraId="1856E52F">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6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pacing w:val="-4"/>
          <w:sz w:val="28"/>
          <w:szCs w:val="28"/>
          <w:lang w:val="en-US" w:eastAsia="zh-CN"/>
        </w:rPr>
        <w:t>智慧救助工程。</w:t>
      </w:r>
      <w:r>
        <w:rPr>
          <w:rFonts w:hint="eastAsia" w:ascii="Times New Roman" w:hAnsi="Times New Roman" w:eastAsia="方正仿宋简体" w:cs="Times New Roman"/>
          <w:color w:val="auto"/>
          <w:sz w:val="28"/>
          <w:szCs w:val="28"/>
          <w:lang w:val="en-US" w:eastAsia="zh-CN"/>
        </w:rPr>
        <w:t>为在社会救助中实现精准救助和高效救助，应充分使用信息技术手段，实现智慧救助。建立社会救助信息资源库与信息平台，利用大数据、人工智能、</w:t>
      </w:r>
      <w:r>
        <w:rPr>
          <w:rFonts w:hint="eastAsia" w:ascii="Times New Roman" w:hAnsi="Times New Roman" w:eastAsia="方正小标宋简体" w:cs="Times New Roman"/>
          <w:b w:val="0"/>
          <w:bCs w:val="0"/>
          <w:color w:val="auto"/>
          <w:sz w:val="32"/>
          <w:szCs w:val="32"/>
          <w:lang w:val="en-US" w:eastAsia="zh-CN"/>
        </w:rPr>
        <w:t>5G</w:t>
      </w:r>
      <w:r>
        <w:rPr>
          <w:rFonts w:hint="eastAsia" w:ascii="Times New Roman" w:hAnsi="Times New Roman" w:eastAsia="方正仿宋简体" w:cs="Times New Roman"/>
          <w:color w:val="auto"/>
          <w:sz w:val="28"/>
          <w:szCs w:val="28"/>
          <w:lang w:val="en-US" w:eastAsia="zh-CN"/>
        </w:rPr>
        <w:t>等现代信息技术开展社会救助工作。加强保障对象的动态管理，对接申请救助居民家庭经济状况核对系统、救助资源数据库，打通数据链条，实现信息共享共用，提高社会救助的覆盖面和精准度。优化简化办理流程，完善“一门受理、协同办理”工作机制，提高救助办理效率。充分运用救助大数据，深度分析全市救助项目、救助对象、救助资金、需求反馈、业务推送等救助信息，加强社会救助监测和资源配置。</w:t>
      </w:r>
    </w:p>
    <w:p w14:paraId="0FFEE7DB">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6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pacing w:val="-4"/>
          <w:sz w:val="28"/>
          <w:szCs w:val="28"/>
          <w:lang w:val="en-US" w:eastAsia="zh-CN"/>
        </w:rPr>
        <w:t>救助站点服务能力提升工程。结合那曲地域分布广的特点，整合全市社会救助资源，在不断完善那曲市救助站现有救助条件的前提下，预购置床位、制氧机、洗衣机和救助人员接送车等必备的救助设备，加强指导县（区）民政局流浪乞讨相关工作。</w:t>
      </w:r>
    </w:p>
    <w:p w14:paraId="756B90F1">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69" w:name="_Toc2381"/>
      <w:bookmarkStart w:id="70" w:name="_Toc24481"/>
      <w:bookmarkStart w:id="71" w:name="_Toc5218"/>
      <w:bookmarkStart w:id="72" w:name="_Toc9677"/>
      <w:bookmarkStart w:id="73" w:name="_Toc32592"/>
      <w:r>
        <w:rPr>
          <w:rFonts w:hint="eastAsia" w:ascii="方正楷体简体" w:hAnsi="方正楷体简体" w:eastAsia="方正楷体简体" w:cs="方正楷体简体"/>
          <w:b w:val="0"/>
          <w:bCs/>
          <w:color w:val="auto"/>
          <w:sz w:val="32"/>
          <w:szCs w:val="32"/>
          <w:lang w:val="en-US" w:eastAsia="zh-CN"/>
        </w:rPr>
        <w:t>第九节 优化儿童福利保障体系</w:t>
      </w:r>
      <w:bookmarkEnd w:id="69"/>
      <w:bookmarkEnd w:id="70"/>
      <w:bookmarkEnd w:id="71"/>
      <w:bookmarkEnd w:id="72"/>
      <w:bookmarkEnd w:id="73"/>
    </w:p>
    <w:p w14:paraId="3AF39F66">
      <w:pPr>
        <w:keepNext w:val="0"/>
        <w:keepLines w:val="0"/>
        <w:pageBreakBefore w:val="0"/>
        <w:widowControl w:val="0"/>
        <w:kinsoku/>
        <w:wordWrap/>
        <w:overflowPunct/>
        <w:topLinePunct w:val="0"/>
        <w:autoSpaceDE/>
        <w:bidi w:val="0"/>
        <w:spacing w:line="576" w:lineRule="exact"/>
        <w:ind w:firstLine="640" w:firstLineChars="200"/>
        <w:textAlignment w:val="auto"/>
        <w:rPr>
          <w:rFonts w:hint="eastAsia" w:ascii="方正仿宋简体" w:hAnsi="方正仿宋简体" w:eastAsia="方正仿宋简体" w:cs="方正仿宋简体"/>
          <w:color w:val="auto"/>
          <w:sz w:val="32"/>
          <w:szCs w:val="32"/>
        </w:rPr>
      </w:pPr>
      <w:bookmarkStart w:id="74" w:name="_Toc11788"/>
      <w:bookmarkStart w:id="75" w:name="_Toc15075"/>
      <w:r>
        <w:rPr>
          <w:rFonts w:hint="eastAsia" w:ascii="方正仿宋简体" w:hAnsi="方正仿宋简体" w:eastAsia="方正仿宋简体" w:cs="方正仿宋简体"/>
          <w:color w:val="auto"/>
          <w:sz w:val="32"/>
          <w:szCs w:val="32"/>
          <w:lang w:val="en-US" w:eastAsia="zh-CN"/>
        </w:rPr>
        <w:t>结合那曲地区儿童福利实际，不断健全儿童福利制度，</w:t>
      </w:r>
      <w:r>
        <w:rPr>
          <w:rFonts w:hint="eastAsia" w:ascii="方正仿宋简体" w:hAnsi="方正仿宋简体" w:eastAsia="方正仿宋简体" w:cs="方正仿宋简体"/>
          <w:color w:val="auto"/>
          <w:sz w:val="32"/>
          <w:szCs w:val="32"/>
        </w:rPr>
        <w:t>加快完善儿童</w:t>
      </w:r>
      <w:r>
        <w:rPr>
          <w:rFonts w:hint="eastAsia" w:ascii="方正仿宋简体" w:hAnsi="方正仿宋简体" w:eastAsia="方正仿宋简体" w:cs="方正仿宋简体"/>
          <w:color w:val="auto"/>
          <w:sz w:val="32"/>
          <w:szCs w:val="32"/>
          <w:lang w:eastAsia="zh-CN"/>
        </w:rPr>
        <w:t>福利</w:t>
      </w:r>
      <w:r>
        <w:rPr>
          <w:rFonts w:hint="eastAsia" w:ascii="方正仿宋简体" w:hAnsi="方正仿宋简体" w:eastAsia="方正仿宋简体" w:cs="方正仿宋简体"/>
          <w:color w:val="auto"/>
          <w:sz w:val="32"/>
          <w:szCs w:val="32"/>
        </w:rPr>
        <w:t>保障制度和工作机制，</w:t>
      </w:r>
      <w:r>
        <w:rPr>
          <w:rFonts w:hint="eastAsia" w:ascii="方正仿宋简体" w:hAnsi="方正仿宋简体" w:eastAsia="方正仿宋简体" w:cs="方正仿宋简体"/>
          <w:color w:val="auto"/>
          <w:sz w:val="32"/>
          <w:szCs w:val="32"/>
          <w:lang w:val="en-US" w:eastAsia="zh-CN"/>
        </w:rPr>
        <w:t>提升服务能力和水平，</w:t>
      </w:r>
      <w:r>
        <w:rPr>
          <w:rFonts w:hint="eastAsia" w:ascii="方正仿宋简体" w:hAnsi="方正仿宋简体" w:eastAsia="方正仿宋简体" w:cs="方正仿宋简体"/>
          <w:color w:val="auto"/>
          <w:sz w:val="32"/>
          <w:szCs w:val="32"/>
        </w:rPr>
        <w:t>构建制度完备、体系健全、分类精准、全面覆盖的儿童福利保护工作格局</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让每一名儿童都得到悉心呵护。</w:t>
      </w:r>
    </w:p>
    <w:bookmarkEnd w:id="74"/>
    <w:bookmarkEnd w:id="75"/>
    <w:p w14:paraId="0BA7B44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（33）健全儿童福利保障体制机制</w:t>
      </w:r>
    </w:p>
    <w:p w14:paraId="6887CD27">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聚焦孤残儿童、困境儿童和农村留守儿童，健全政策体系，优化完善发现报告、应急处置、评估帮扶、监护干预、护送转接和分类保障机制，强化和落实属地主体责任，推动形成全市统筹、协调顺畅、无缝衔接的儿童福利保障体系。</w:t>
      </w:r>
    </w:p>
    <w:p w14:paraId="01BCA249">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（34）完善儿童福利保障制度</w:t>
      </w:r>
    </w:p>
    <w:p w14:paraId="756ECF87">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困境儿童分类保障，坚持与经济社会发展相适应的普惠性发展原则，不断健全困境儿童生活、教育、安全、医疗、康复、住房及成年安置等分类保障制度。加强孤儿和事实无人抚养儿童保障，不断健全孤儿和事实无人抚养儿童基本生活保障制度，完善补贴标准自然增长机制，强化基本生活和监护兜底保障，稳步提高困境儿童、孤儿基本生活保障标准。将医疗保障、教育资助等政策拓展至所有事实无人抚养儿童，将低保边缘家庭中的重病、重残儿童纳入低保范围。积极落实儿童收养制度，规范收养工作，优化收养登记流程，实施收养家庭能力评估制度，依法保障被收养儿童的合法权益。鼓励支持有能力、有条件的个人和组织承担儿童监护抚养社会责任。促进家庭寄养规范化发展，完善家庭寄养转收养的资助帮扶机制，适时调整家庭养育费标准。</w:t>
      </w:r>
    </w:p>
    <w:p w14:paraId="547E0D9E">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（35）推动儿童福利机构转型发展</w:t>
      </w:r>
    </w:p>
    <w:p w14:paraId="45E114D6">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rPr>
        <w:t>深化儿童福利机构改革</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推动市儿童福利院创新转型发展</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推进儿童福利机构“开门办院”</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发挥资源优势</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拓展服务对象和服务范围，</w:t>
      </w:r>
      <w:r>
        <w:rPr>
          <w:rFonts w:hint="eastAsia" w:ascii="方正仿宋简体" w:hAnsi="方正仿宋简体" w:eastAsia="方正仿宋简体" w:cs="方正仿宋简体"/>
          <w:color w:val="auto"/>
          <w:sz w:val="32"/>
          <w:szCs w:val="32"/>
        </w:rPr>
        <w:t>向社会上有需求的困境儿童提供委托照护、康复照料等服务</w:t>
      </w:r>
      <w:r>
        <w:rPr>
          <w:rFonts w:hint="eastAsia" w:ascii="方正仿宋简体" w:hAnsi="方正仿宋简体" w:eastAsia="方正仿宋简体" w:cs="方正仿宋简体"/>
          <w:color w:val="auto"/>
          <w:sz w:val="32"/>
          <w:szCs w:val="32"/>
          <w:lang w:val="en-US" w:eastAsia="zh-CN"/>
        </w:rPr>
        <w:t>，向家庭残疾儿童、重病儿童提供</w:t>
      </w:r>
      <w:r>
        <w:rPr>
          <w:rFonts w:hint="default" w:ascii="方正仿宋简体" w:hAnsi="方正仿宋简体" w:eastAsia="方正仿宋简体" w:cs="方正仿宋简体"/>
          <w:color w:val="auto"/>
          <w:sz w:val="32"/>
          <w:szCs w:val="32"/>
          <w:lang w:val="en-US" w:eastAsia="zh-CN"/>
        </w:rPr>
        <w:t>日间照料、临时监护、康复指导</w:t>
      </w:r>
      <w:r>
        <w:rPr>
          <w:rFonts w:hint="eastAsia" w:ascii="方正仿宋简体" w:hAnsi="方正仿宋简体" w:eastAsia="方正仿宋简体" w:cs="方正仿宋简体"/>
          <w:color w:val="auto"/>
          <w:sz w:val="32"/>
          <w:szCs w:val="32"/>
          <w:lang w:val="en-US" w:eastAsia="zh-CN"/>
        </w:rPr>
        <w:t>、</w:t>
      </w:r>
      <w:r>
        <w:rPr>
          <w:rFonts w:hint="eastAsia" w:ascii="方正仿宋简体" w:hAnsi="方正仿宋简体" w:eastAsia="方正仿宋简体" w:cs="方正仿宋简体"/>
          <w:color w:val="auto"/>
          <w:sz w:val="32"/>
          <w:szCs w:val="32"/>
        </w:rPr>
        <w:t>特教等服务。</w:t>
      </w:r>
      <w:r>
        <w:rPr>
          <w:rFonts w:hint="eastAsia" w:ascii="方正仿宋简体" w:hAnsi="方正仿宋简体" w:eastAsia="方正仿宋简体" w:cs="方正仿宋简体"/>
          <w:color w:val="auto"/>
          <w:sz w:val="32"/>
          <w:szCs w:val="32"/>
          <w:lang w:val="en-US" w:eastAsia="zh-CN"/>
        </w:rPr>
        <w:t>完善儿童福利机构设施功能，推动儿童福利服务标准化和信息化建设，规范配备专职社工，完善儿童心理关爱服务工作机制，推动市儿童福利院高质量发展。推行专业社工驻院、志愿者结对等方式，引入社会力量参与院内儿童照料康复，提升机构专业服务水平。</w:t>
      </w:r>
    </w:p>
    <w:p w14:paraId="5032C79B">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（36）健全监护、监督和关爱保护体系</w:t>
      </w:r>
    </w:p>
    <w:p w14:paraId="3F343889">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推进困境儿童家庭监护帮扶</w:t>
      </w:r>
      <w:r>
        <w:rPr>
          <w:rFonts w:hint="eastAsia" w:ascii="方正仿宋简体" w:hAnsi="方正仿宋简体" w:eastAsia="方正仿宋简体" w:cs="方正仿宋简体"/>
          <w:color w:val="auto"/>
          <w:sz w:val="32"/>
          <w:szCs w:val="32"/>
          <w:lang w:val="en-US" w:eastAsia="zh-CN"/>
        </w:rPr>
        <w:t>工作</w:t>
      </w:r>
      <w:r>
        <w:rPr>
          <w:rFonts w:hint="eastAsia" w:ascii="方正仿宋简体" w:hAnsi="方正仿宋简体" w:eastAsia="方正仿宋简体" w:cs="方正仿宋简体"/>
          <w:color w:val="auto"/>
          <w:sz w:val="32"/>
          <w:szCs w:val="32"/>
        </w:rPr>
        <w:t>，完善困境儿童巡视探访制度，制定家庭监护监督、指导和支持措施，强化家庭监护主体责任。细化困境儿童救助保护工作</w:t>
      </w:r>
      <w:r>
        <w:rPr>
          <w:rFonts w:hint="eastAsia" w:ascii="方正仿宋简体" w:hAnsi="方正仿宋简体" w:eastAsia="方正仿宋简体" w:cs="方正仿宋简体"/>
          <w:color w:val="auto"/>
          <w:sz w:val="32"/>
          <w:szCs w:val="32"/>
          <w:lang w:eastAsia="zh-CN"/>
        </w:rPr>
        <w:t>制度，加强制度</w:t>
      </w:r>
      <w:r>
        <w:rPr>
          <w:rFonts w:hint="eastAsia" w:ascii="方正仿宋简体" w:hAnsi="方正仿宋简体" w:eastAsia="方正仿宋简体" w:cs="方正仿宋简体"/>
          <w:color w:val="auto"/>
          <w:sz w:val="32"/>
          <w:szCs w:val="32"/>
        </w:rPr>
        <w:t>和机制衔接，支持法律援助机构、社会工作服务机构、心理服务机构等专业力量参与，加强与公安、检察院、法院等部门</w:t>
      </w:r>
      <w:r>
        <w:rPr>
          <w:rFonts w:hint="eastAsia" w:ascii="方正仿宋简体" w:hAnsi="方正仿宋简体" w:eastAsia="方正仿宋简体" w:cs="方正仿宋简体"/>
          <w:color w:val="auto"/>
          <w:sz w:val="32"/>
          <w:szCs w:val="32"/>
          <w:lang w:eastAsia="zh-CN"/>
        </w:rPr>
        <w:t>的协调</w:t>
      </w:r>
      <w:r>
        <w:rPr>
          <w:rFonts w:hint="eastAsia" w:ascii="方正仿宋简体" w:hAnsi="方正仿宋简体" w:eastAsia="方正仿宋简体" w:cs="方正仿宋简体"/>
          <w:color w:val="auto"/>
          <w:sz w:val="32"/>
          <w:szCs w:val="32"/>
        </w:rPr>
        <w:t>配合</w:t>
      </w:r>
      <w:r>
        <w:rPr>
          <w:rFonts w:hint="eastAsia" w:ascii="方正仿宋简体" w:hAnsi="方正仿宋简体" w:eastAsia="方正仿宋简体" w:cs="方正仿宋简体"/>
          <w:color w:val="auto"/>
          <w:sz w:val="32"/>
          <w:szCs w:val="32"/>
          <w:lang w:eastAsia="zh-CN"/>
        </w:rPr>
        <w:t>和</w:t>
      </w:r>
      <w:r>
        <w:rPr>
          <w:rFonts w:hint="eastAsia" w:ascii="方正仿宋简体" w:hAnsi="方正仿宋简体" w:eastAsia="方正仿宋简体" w:cs="方正仿宋简体"/>
          <w:color w:val="auto"/>
          <w:sz w:val="32"/>
          <w:szCs w:val="32"/>
        </w:rPr>
        <w:t>工作联动，依法处理儿童监护侵害行为。</w:t>
      </w:r>
    </w:p>
    <w:p w14:paraId="7DC2B4B5">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rPr>
        <w:t>会同相关部门健全流动儿童和留守儿童关爱服务体系</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加强留守儿童档案信息化建设，建立信息动态更新和信息交流机制，</w:t>
      </w:r>
      <w:r>
        <w:rPr>
          <w:rFonts w:hint="eastAsia" w:ascii="方正仿宋简体" w:hAnsi="方正仿宋简体" w:eastAsia="方正仿宋简体" w:cs="方正仿宋简体"/>
          <w:color w:val="auto"/>
          <w:sz w:val="32"/>
          <w:szCs w:val="32"/>
        </w:rPr>
        <w:t>持续开展困境、留守、流动儿童走访摸排，推进流动儿童、留守儿童分类精准帮扶</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在牧区试点“流动儿童关爱驿站”</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lang w:val="en-US" w:eastAsia="zh-CN"/>
        </w:rPr>
        <w:t>因地制宜地开展留守儿童关爱服务</w:t>
      </w:r>
      <w:r>
        <w:rPr>
          <w:rFonts w:hint="eastAsia" w:ascii="方正仿宋简体" w:hAnsi="方正仿宋简体" w:eastAsia="方正仿宋简体" w:cs="方正仿宋简体"/>
          <w:color w:val="auto"/>
          <w:sz w:val="32"/>
          <w:szCs w:val="32"/>
        </w:rPr>
        <w:t>。</w:t>
      </w:r>
      <w:r>
        <w:rPr>
          <w:rFonts w:hint="eastAsia" w:ascii="方正仿宋简体" w:hAnsi="方正仿宋简体" w:eastAsia="方正仿宋简体" w:cs="方正仿宋简体"/>
          <w:color w:val="auto"/>
          <w:sz w:val="32"/>
          <w:szCs w:val="32"/>
          <w:lang w:val="en-US" w:eastAsia="zh-CN"/>
        </w:rPr>
        <w:t>引导、鼓励社会力量通过慈善捐助、帮扶和公益项目等方式参与关爱服务。</w:t>
      </w:r>
    </w:p>
    <w:p w14:paraId="5691A236">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80" w:lineRule="exact"/>
        <w:jc w:val="center"/>
        <w:textAlignment w:val="auto"/>
        <w:outlineLvl w:val="1"/>
        <w:rPr>
          <w:rFonts w:hint="eastAsia" w:ascii="方正仿宋简体" w:hAnsi="方正仿宋简体" w:eastAsia="方正仿宋简体" w:cs="方正仿宋简体"/>
          <w:b w:val="0"/>
          <w:bCs w:val="0"/>
          <w:color w:val="auto"/>
          <w:spacing w:val="-4"/>
          <w:sz w:val="28"/>
          <w:szCs w:val="28"/>
          <w:lang w:val="en-US" w:eastAsia="zh-CN"/>
        </w:rPr>
      </w:pPr>
      <w:bookmarkStart w:id="76" w:name="_Toc29928"/>
      <w:r>
        <w:rPr>
          <w:rFonts w:hint="eastAsia" w:ascii="方正仿宋简体" w:hAnsi="方正仿宋简体" w:eastAsia="方正仿宋简体" w:cs="方正仿宋简体"/>
          <w:b w:val="0"/>
          <w:bCs w:val="0"/>
          <w:color w:val="auto"/>
          <w:spacing w:val="-4"/>
          <w:sz w:val="28"/>
          <w:szCs w:val="28"/>
          <w:lang w:val="en-US" w:eastAsia="zh-CN"/>
        </w:rPr>
        <w:t>专栏三：儿童福利服务体系工程</w:t>
      </w:r>
      <w:bookmarkEnd w:id="76"/>
    </w:p>
    <w:p w14:paraId="39002C3B">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4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pacing w:val="-4"/>
          <w:sz w:val="28"/>
          <w:szCs w:val="28"/>
          <w:lang w:val="en-US" w:eastAsia="zh-CN"/>
        </w:rPr>
        <w:t>儿童福利机构提质增效工程。推动市儿童福利院转型发展，开展设施更新改造，提高儿童福利保障水平。</w:t>
      </w:r>
    </w:p>
    <w:p w14:paraId="7E2A303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4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pacing w:val="-4"/>
          <w:sz w:val="28"/>
          <w:szCs w:val="28"/>
          <w:lang w:val="en-US" w:eastAsia="zh-CN"/>
        </w:rPr>
        <w:t>实施“护幼强基”工程。围绕援藏任务目标，补充配备持证养育与康复专业人员定向支援市儿童福利机构，建立“招录补充—岗前培训与在岗培训—持证上岗—绩效考核—年度评估”闭环，确保专业照护、康复、特教与心理支持服务全覆盖，提升专业人员持证率。</w:t>
      </w:r>
    </w:p>
    <w:p w14:paraId="162FBC2A">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77" w:name="_Toc23632"/>
      <w:bookmarkStart w:id="78" w:name="_Toc32556"/>
      <w:bookmarkStart w:id="79" w:name="_Toc3166"/>
      <w:bookmarkStart w:id="80" w:name="_Toc22768"/>
      <w:bookmarkStart w:id="81" w:name="_Toc1797"/>
      <w:r>
        <w:rPr>
          <w:rFonts w:hint="eastAsia" w:ascii="方正楷体简体" w:hAnsi="方正楷体简体" w:eastAsia="方正楷体简体" w:cs="方正楷体简体"/>
          <w:b w:val="0"/>
          <w:bCs/>
          <w:color w:val="auto"/>
          <w:sz w:val="32"/>
          <w:szCs w:val="32"/>
          <w:lang w:val="en-US" w:eastAsia="zh-CN"/>
        </w:rPr>
        <w:t>第十节 健全残疾人社会保障体系</w:t>
      </w:r>
      <w:bookmarkEnd w:id="77"/>
      <w:bookmarkEnd w:id="78"/>
    </w:p>
    <w:bookmarkEnd w:id="79"/>
    <w:bookmarkEnd w:id="80"/>
    <w:bookmarkEnd w:id="81"/>
    <w:p w14:paraId="10F605D7">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color w:val="auto"/>
          <w:sz w:val="32"/>
          <w:szCs w:val="32"/>
        </w:rPr>
        <w:t>坚持兜底保障和适度普惠相结合，健全完善生活有保障、康复</w:t>
      </w:r>
      <w:r>
        <w:rPr>
          <w:rFonts w:hint="eastAsia" w:ascii="方正仿宋简体" w:hAnsi="方正仿宋简体" w:eastAsia="方正仿宋简体" w:cs="方正仿宋简体"/>
          <w:color w:val="auto"/>
          <w:sz w:val="32"/>
          <w:szCs w:val="32"/>
          <w:lang w:eastAsia="zh-CN"/>
        </w:rPr>
        <w:t>服务全</w:t>
      </w:r>
      <w:r>
        <w:rPr>
          <w:rFonts w:hint="eastAsia" w:ascii="方正仿宋简体" w:hAnsi="方正仿宋简体" w:eastAsia="方正仿宋简体" w:cs="方正仿宋简体"/>
          <w:color w:val="auto"/>
          <w:sz w:val="32"/>
          <w:szCs w:val="32"/>
        </w:rPr>
        <w:t>覆盖的残疾人福利保障体系</w:t>
      </w:r>
      <w:r>
        <w:rPr>
          <w:rFonts w:hint="eastAsia" w:ascii="方正仿宋简体" w:hAnsi="方正仿宋简体" w:eastAsia="方正仿宋简体" w:cs="方正仿宋简体"/>
          <w:color w:val="auto"/>
          <w:sz w:val="32"/>
          <w:szCs w:val="32"/>
          <w:lang w:eastAsia="zh-CN"/>
        </w:rPr>
        <w:t>。</w:t>
      </w:r>
    </w:p>
    <w:p w14:paraId="55E2868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outlineLvl w:val="2"/>
        <w:rPr>
          <w:rFonts w:hint="eastAsia" w:ascii="方正仿宋简体" w:hAnsi="方正仿宋简体" w:eastAsia="方正仿宋简体" w:cs="方正仿宋简体"/>
          <w:b/>
          <w:bCs/>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（37）完善残疾人基本福利制度</w:t>
      </w:r>
    </w:p>
    <w:p w14:paraId="3A62AF0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color w:val="auto"/>
          <w:sz w:val="32"/>
          <w:szCs w:val="32"/>
          <w:lang w:val="en-US" w:eastAsia="zh-CN"/>
        </w:rPr>
        <w:t>完善</w:t>
      </w:r>
      <w:r>
        <w:rPr>
          <w:rFonts w:hint="eastAsia" w:ascii="方正仿宋简体" w:hAnsi="方正仿宋简体" w:eastAsia="方正仿宋简体" w:cs="方正仿宋简体"/>
          <w:color w:val="auto"/>
          <w:sz w:val="32"/>
          <w:szCs w:val="32"/>
        </w:rPr>
        <w:t>残疾人服务管理体制，健全完善党委领导、政府主导，相关职能部门、残疾人组织各司其职、协同高效的工作体系。</w:t>
      </w:r>
      <w:r>
        <w:rPr>
          <w:rFonts w:hint="eastAsia" w:ascii="方正仿宋简体" w:hAnsi="方正仿宋简体" w:eastAsia="方正仿宋简体" w:cs="方正仿宋简体"/>
          <w:color w:val="auto"/>
          <w:sz w:val="32"/>
          <w:szCs w:val="32"/>
          <w:lang w:bidi="ar"/>
        </w:rPr>
        <w:t>完善困难残疾人生活补贴和重度残疾人护理补贴制度，健全与经济社会发展水平相适应的动态调整机制，</w:t>
      </w:r>
      <w:r>
        <w:rPr>
          <w:rFonts w:hint="eastAsia" w:ascii="方正仿宋简体" w:hAnsi="方正仿宋简体" w:eastAsia="方正仿宋简体" w:cs="方正仿宋简体"/>
          <w:color w:val="auto"/>
          <w:sz w:val="32"/>
          <w:szCs w:val="32"/>
          <w:lang w:val="en-US" w:eastAsia="zh-CN" w:bidi="ar"/>
        </w:rPr>
        <w:t>确保应补尽补、应享尽享</w:t>
      </w:r>
      <w:r>
        <w:rPr>
          <w:rFonts w:hint="eastAsia" w:ascii="方正仿宋简体" w:hAnsi="方正仿宋简体" w:eastAsia="方正仿宋简体" w:cs="方正仿宋简体"/>
          <w:color w:val="auto"/>
          <w:sz w:val="32"/>
          <w:szCs w:val="32"/>
          <w:lang w:eastAsia="zh-CN" w:bidi="ar"/>
        </w:rPr>
        <w:t>，</w:t>
      </w:r>
      <w:r>
        <w:rPr>
          <w:rFonts w:hint="eastAsia" w:ascii="方正仿宋简体" w:hAnsi="方正仿宋简体" w:eastAsia="方正仿宋简体" w:cs="方正仿宋简体"/>
          <w:color w:val="auto"/>
          <w:sz w:val="32"/>
          <w:szCs w:val="32"/>
          <w:lang w:bidi="ar"/>
        </w:rPr>
        <w:t>加强与其他福利补贴的整合建设、标准衔接。</w:t>
      </w:r>
      <w:r>
        <w:rPr>
          <w:rFonts w:hint="eastAsia" w:ascii="方正仿宋简体" w:hAnsi="方正仿宋简体" w:eastAsia="方正仿宋简体" w:cs="方正仿宋简体"/>
          <w:color w:val="auto"/>
          <w:sz w:val="32"/>
          <w:szCs w:val="32"/>
          <w:lang w:eastAsia="zh-CN"/>
        </w:rPr>
        <w:t>配合残联部门</w:t>
      </w:r>
      <w:r>
        <w:rPr>
          <w:rFonts w:hint="eastAsia" w:ascii="方正仿宋简体" w:hAnsi="方正仿宋简体" w:eastAsia="方正仿宋简体" w:cs="方正仿宋简体"/>
          <w:color w:val="auto"/>
          <w:sz w:val="32"/>
          <w:szCs w:val="32"/>
        </w:rPr>
        <w:t>制定加强重度残疾人托养照护服务的政策措施</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支持发展残疾人社会化照护服务</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推进减轻“老年父母+残疾子女</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一户多残”等特殊家庭</w:t>
      </w:r>
      <w:r>
        <w:rPr>
          <w:rFonts w:hint="eastAsia" w:ascii="方正仿宋简体" w:hAnsi="方正仿宋简体" w:eastAsia="方正仿宋简体" w:cs="方正仿宋简体"/>
          <w:color w:val="auto"/>
          <w:sz w:val="32"/>
          <w:szCs w:val="32"/>
          <w:lang w:eastAsia="zh-CN"/>
        </w:rPr>
        <w:t>照护</w:t>
      </w:r>
      <w:r>
        <w:rPr>
          <w:rFonts w:hint="eastAsia" w:ascii="方正仿宋简体" w:hAnsi="方正仿宋简体" w:eastAsia="方正仿宋简体" w:cs="方正仿宋简体"/>
          <w:color w:val="auto"/>
          <w:sz w:val="32"/>
          <w:szCs w:val="32"/>
        </w:rPr>
        <w:t>负担</w:t>
      </w:r>
      <w:r>
        <w:rPr>
          <w:rFonts w:hint="eastAsia" w:ascii="方正仿宋简体" w:hAnsi="方正仿宋简体" w:eastAsia="方正仿宋简体" w:cs="方正仿宋简体"/>
          <w:color w:val="auto"/>
          <w:sz w:val="32"/>
          <w:szCs w:val="32"/>
          <w:lang w:eastAsia="zh-CN"/>
        </w:rPr>
        <w:t>的工作。</w:t>
      </w:r>
    </w:p>
    <w:p w14:paraId="640F224A">
      <w:pPr>
        <w:keepNext w:val="0"/>
        <w:keepLines w:val="0"/>
        <w:pageBreakBefore w:val="0"/>
        <w:widowControl w:val="0"/>
        <w:kinsoku/>
        <w:wordWrap/>
        <w:overflowPunct/>
        <w:topLinePunct w:val="0"/>
        <w:autoSpaceDE/>
        <w:autoSpaceDN/>
        <w:bidi w:val="0"/>
        <w:spacing w:line="576" w:lineRule="exact"/>
        <w:ind w:firstLine="645"/>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t>完善残疾人关爱服务体系</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通过新建、改扩建等形式为</w:t>
      </w:r>
      <w:r>
        <w:rPr>
          <w:rFonts w:hint="eastAsia" w:ascii="方正仿宋简体" w:hAnsi="方正仿宋简体" w:eastAsia="方正仿宋简体" w:cs="方正仿宋简体"/>
          <w:color w:val="auto"/>
          <w:sz w:val="32"/>
          <w:szCs w:val="32"/>
          <w:lang w:eastAsia="zh-CN"/>
        </w:rPr>
        <w:t>精神</w:t>
      </w:r>
      <w:r>
        <w:rPr>
          <w:rFonts w:hint="eastAsia" w:ascii="方正仿宋简体" w:hAnsi="方正仿宋简体" w:eastAsia="方正仿宋简体" w:cs="方正仿宋简体"/>
          <w:color w:val="auto"/>
          <w:sz w:val="32"/>
          <w:szCs w:val="32"/>
        </w:rPr>
        <w:t>残疾人提供</w:t>
      </w:r>
      <w:r>
        <w:rPr>
          <w:rFonts w:hint="eastAsia" w:ascii="方正仿宋简体" w:hAnsi="方正仿宋简体" w:eastAsia="方正仿宋简体" w:cs="方正仿宋简体"/>
          <w:color w:val="auto"/>
          <w:sz w:val="32"/>
          <w:szCs w:val="32"/>
          <w:lang w:eastAsia="zh-CN"/>
        </w:rPr>
        <w:t>照料</w:t>
      </w:r>
      <w:r>
        <w:rPr>
          <w:rFonts w:hint="eastAsia" w:ascii="方正仿宋简体" w:hAnsi="方正仿宋简体" w:eastAsia="方正仿宋简体" w:cs="方正仿宋简体"/>
          <w:color w:val="auto"/>
          <w:sz w:val="32"/>
          <w:szCs w:val="32"/>
        </w:rPr>
        <w:t>服务，着力解决智力、精神和重度残疾人以及低保、低收入等困难残疾人的</w:t>
      </w:r>
      <w:r>
        <w:rPr>
          <w:rFonts w:hint="eastAsia" w:ascii="方正仿宋简体" w:hAnsi="方正仿宋简体" w:eastAsia="方正仿宋简体" w:cs="方正仿宋简体"/>
          <w:color w:val="auto"/>
          <w:sz w:val="32"/>
          <w:szCs w:val="32"/>
          <w:lang w:val="en-US" w:eastAsia="zh-CN"/>
        </w:rPr>
        <w:t>居家照护、日间照护、</w:t>
      </w:r>
      <w:r>
        <w:rPr>
          <w:rFonts w:hint="eastAsia" w:ascii="方正仿宋简体" w:hAnsi="方正仿宋简体" w:eastAsia="方正仿宋简体" w:cs="方正仿宋简体"/>
          <w:color w:val="auto"/>
          <w:sz w:val="32"/>
          <w:szCs w:val="32"/>
        </w:rPr>
        <w:t>集中托养需求。</w:t>
      </w:r>
      <w:r>
        <w:rPr>
          <w:rFonts w:hint="eastAsia" w:ascii="方正仿宋简体" w:hAnsi="方正仿宋简体" w:eastAsia="方正仿宋简体" w:cs="方正仿宋简体"/>
          <w:color w:val="auto"/>
          <w:sz w:val="32"/>
          <w:szCs w:val="32"/>
          <w:lang w:bidi="ar"/>
        </w:rPr>
        <w:t>加强</w:t>
      </w:r>
      <w:r>
        <w:rPr>
          <w:rFonts w:hint="eastAsia" w:ascii="方正仿宋简体" w:hAnsi="方正仿宋简体" w:eastAsia="方正仿宋简体" w:cs="方正仿宋简体"/>
          <w:color w:val="auto"/>
          <w:sz w:val="32"/>
          <w:szCs w:val="32"/>
          <w:lang w:eastAsia="zh-CN" w:bidi="ar"/>
        </w:rPr>
        <w:t>与未</w:t>
      </w:r>
      <w:r>
        <w:rPr>
          <w:rFonts w:hint="eastAsia" w:ascii="方正仿宋简体" w:hAnsi="方正仿宋简体" w:eastAsia="方正仿宋简体" w:cs="方正仿宋简体"/>
          <w:color w:val="auto"/>
          <w:sz w:val="32"/>
          <w:szCs w:val="32"/>
          <w:lang w:bidi="ar"/>
        </w:rPr>
        <w:t>持有残疾人证的失能失智等老年人的</w:t>
      </w:r>
      <w:r>
        <w:rPr>
          <w:rFonts w:hint="eastAsia" w:ascii="方正仿宋简体" w:hAnsi="方正仿宋简体" w:eastAsia="方正仿宋简体" w:cs="方正仿宋简体"/>
          <w:color w:val="auto"/>
          <w:sz w:val="32"/>
          <w:szCs w:val="32"/>
          <w:lang w:eastAsia="zh-CN" w:bidi="ar"/>
        </w:rPr>
        <w:t>服务对接，</w:t>
      </w:r>
      <w:r>
        <w:rPr>
          <w:rFonts w:hint="eastAsia" w:ascii="方正仿宋简体" w:hAnsi="方正仿宋简体" w:eastAsia="方正仿宋简体" w:cs="方正仿宋简体"/>
          <w:color w:val="auto"/>
          <w:sz w:val="32"/>
          <w:szCs w:val="32"/>
          <w:lang w:val="en-US" w:eastAsia="zh-CN" w:bidi="ar"/>
        </w:rPr>
        <w:t>以满足其服务需求</w:t>
      </w:r>
      <w:r>
        <w:rPr>
          <w:rFonts w:hint="eastAsia" w:ascii="方正仿宋简体" w:hAnsi="方正仿宋简体" w:eastAsia="方正仿宋简体" w:cs="方正仿宋简体"/>
          <w:color w:val="auto"/>
          <w:sz w:val="32"/>
          <w:szCs w:val="32"/>
          <w:lang w:eastAsia="zh-CN" w:bidi="ar"/>
        </w:rPr>
        <w:t>。</w:t>
      </w:r>
    </w:p>
    <w:p w14:paraId="192A42C2">
      <w:pPr>
        <w:keepNext w:val="0"/>
        <w:keepLines w:val="0"/>
        <w:pageBreakBefore w:val="0"/>
        <w:widowControl w:val="0"/>
        <w:kinsoku/>
        <w:wordWrap/>
        <w:overflowPunct/>
        <w:topLinePunct w:val="0"/>
        <w:autoSpaceDE/>
        <w:autoSpaceDN/>
        <w:bidi w:val="0"/>
        <w:spacing w:line="576" w:lineRule="exact"/>
        <w:ind w:firstLine="645"/>
        <w:textAlignment w:val="auto"/>
        <w:rPr>
          <w:rFonts w:hint="eastAsia" w:ascii="方正仿宋简体" w:hAnsi="方正仿宋简体" w:eastAsia="方正仿宋简体" w:cs="方正仿宋简体"/>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（38）加强精神障碍残疾人福利服务</w:t>
      </w:r>
    </w:p>
    <w:p w14:paraId="2B74A264">
      <w:pPr>
        <w:keepNext w:val="0"/>
        <w:keepLines w:val="0"/>
        <w:pageBreakBefore w:val="0"/>
        <w:widowControl w:val="0"/>
        <w:kinsoku/>
        <w:wordWrap/>
        <w:overflowPunct/>
        <w:topLinePunct w:val="0"/>
        <w:autoSpaceDE/>
        <w:autoSpaceDN/>
        <w:bidi w:val="0"/>
        <w:spacing w:line="576" w:lineRule="exact"/>
        <w:ind w:firstLine="645"/>
        <w:textAlignment w:val="auto"/>
        <w:rPr>
          <w:rFonts w:hint="default" w:ascii="方正仿宋简体" w:hAnsi="方正仿宋简体" w:eastAsia="方正仿宋简体" w:cs="方正仿宋简体"/>
          <w:color w:val="auto"/>
          <w:sz w:val="32"/>
          <w:szCs w:val="32"/>
          <w:lang w:val="en-US"/>
        </w:rPr>
      </w:pPr>
      <w:r>
        <w:rPr>
          <w:rFonts w:hint="eastAsia" w:ascii="方正仿宋简体" w:hAnsi="方正仿宋简体" w:eastAsia="方正仿宋简体" w:cs="方正仿宋简体"/>
          <w:color w:val="auto"/>
          <w:sz w:val="32"/>
          <w:szCs w:val="32"/>
          <w:lang w:val="en-US" w:eastAsia="zh-CN"/>
        </w:rPr>
        <w:t>建立</w:t>
      </w:r>
      <w:r>
        <w:rPr>
          <w:rFonts w:hint="eastAsia" w:ascii="方正仿宋简体" w:hAnsi="方正仿宋简体" w:eastAsia="方正仿宋简体" w:cs="方正仿宋简体"/>
          <w:color w:val="auto"/>
          <w:sz w:val="32"/>
          <w:szCs w:val="32"/>
        </w:rPr>
        <w:t>精神卫生福利机构、社区康复机构及社会组织、家庭相互衔接的精神障碍社区康复服务体系</w:t>
      </w:r>
      <w:r>
        <w:rPr>
          <w:rFonts w:hint="eastAsia" w:ascii="方正仿宋简体" w:hAnsi="方正仿宋简体" w:eastAsia="方正仿宋简体" w:cs="方正仿宋简体"/>
          <w:color w:val="auto"/>
          <w:sz w:val="32"/>
          <w:szCs w:val="32"/>
          <w:lang w:eastAsia="zh-CN"/>
        </w:rPr>
        <w:t>，</w:t>
      </w:r>
      <w:r>
        <w:rPr>
          <w:rFonts w:hint="eastAsia" w:ascii="方正仿宋简体" w:hAnsi="方正仿宋简体" w:eastAsia="方正仿宋简体" w:cs="方正仿宋简体"/>
          <w:color w:val="auto"/>
          <w:sz w:val="32"/>
          <w:szCs w:val="32"/>
        </w:rPr>
        <w:t>推进精神障碍社区康复服务加快发展。</w:t>
      </w:r>
      <w:r>
        <w:rPr>
          <w:rFonts w:hint="eastAsia" w:ascii="方正仿宋简体" w:hAnsi="方正仿宋简体" w:eastAsia="方正仿宋简体" w:cs="方正仿宋简体"/>
          <w:color w:val="auto"/>
          <w:sz w:val="32"/>
          <w:szCs w:val="32"/>
          <w:lang w:eastAsia="zh-CN"/>
        </w:rPr>
        <w:t>建立健全医疗康复协作机制，探索推广“康复+治疗”协同服务模式，推动机构由单</w:t>
      </w:r>
      <w:r>
        <w:rPr>
          <w:rFonts w:hint="eastAsia" w:ascii="方正仿宋简体" w:hAnsi="方正仿宋简体" w:eastAsia="方正仿宋简体" w:cs="方正仿宋简体"/>
          <w:color w:val="auto"/>
          <w:sz w:val="32"/>
          <w:szCs w:val="32"/>
          <w:lang w:val="en-US" w:eastAsia="zh-CN"/>
        </w:rPr>
        <w:t>一</w:t>
      </w:r>
      <w:r>
        <w:rPr>
          <w:rFonts w:hint="eastAsia" w:ascii="方正仿宋简体" w:hAnsi="方正仿宋简体" w:eastAsia="方正仿宋简体" w:cs="方正仿宋简体"/>
          <w:color w:val="auto"/>
          <w:sz w:val="32"/>
          <w:szCs w:val="32"/>
          <w:lang w:eastAsia="zh-CN"/>
        </w:rPr>
        <w:t>养护向养护与治疗功能整合转变。鼓励精神卫生福利机构与医疗机构共建康复治疗专区，提升在院患者的治疗康复水平。建立健全精神障碍患者监护人培训制度，定期开展监护人照护技能培训和责任教育，提升照护能力，强化监护人依法履责意识。建立健全财政投入持续增长机制，统筹中央补助和自治区财政资金，加强对精神卫生福利服务的资金保障。</w:t>
      </w:r>
      <w:r>
        <w:rPr>
          <w:rFonts w:hint="eastAsia" w:ascii="方正仿宋简体" w:hAnsi="方正仿宋简体" w:eastAsia="方正仿宋简体" w:cs="方正仿宋简体"/>
          <w:color w:val="auto"/>
          <w:sz w:val="32"/>
          <w:szCs w:val="32"/>
          <w:lang w:val="en-US" w:eastAsia="zh-CN"/>
        </w:rPr>
        <w:t>加强市精神卫生福利院规范化、标准化建设，完善精神卫生医疗康复设施设备，加大专业技术人才培育力度，提升精神障碍社区康复服务能力。</w:t>
      </w:r>
    </w:p>
    <w:p w14:paraId="25C23A44">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80" w:lineRule="exact"/>
        <w:jc w:val="center"/>
        <w:textAlignment w:val="auto"/>
        <w:outlineLvl w:val="1"/>
        <w:rPr>
          <w:rFonts w:hint="eastAsia" w:ascii="方正仿宋简体" w:hAnsi="方正仿宋简体" w:eastAsia="方正仿宋简体" w:cs="方正仿宋简体"/>
          <w:b w:val="0"/>
          <w:bCs w:val="0"/>
          <w:color w:val="auto"/>
          <w:spacing w:val="-4"/>
          <w:sz w:val="28"/>
          <w:szCs w:val="28"/>
          <w:lang w:val="en-US" w:eastAsia="zh-CN"/>
        </w:rPr>
      </w:pPr>
      <w:bookmarkStart w:id="82" w:name="_Toc24083"/>
      <w:r>
        <w:rPr>
          <w:rFonts w:hint="eastAsia" w:ascii="方正仿宋简体" w:hAnsi="方正仿宋简体" w:eastAsia="方正仿宋简体" w:cs="方正仿宋简体"/>
          <w:b w:val="0"/>
          <w:bCs w:val="0"/>
          <w:color w:val="auto"/>
          <w:spacing w:val="-4"/>
          <w:sz w:val="28"/>
          <w:szCs w:val="28"/>
          <w:lang w:val="en-US" w:eastAsia="zh-CN"/>
        </w:rPr>
        <w:t>专栏四：健全残疾人福利服务体系</w:t>
      </w:r>
      <w:bookmarkEnd w:id="82"/>
    </w:p>
    <w:p w14:paraId="0F390FCC">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4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pacing w:val="-4"/>
          <w:sz w:val="28"/>
          <w:szCs w:val="28"/>
          <w:lang w:val="en-US" w:eastAsia="zh-CN"/>
        </w:rPr>
        <w:t>稳步提高困难残疾人生活补贴和重度残疾人护理补贴标准。适时提高残疾人两项补贴标准，扩大覆盖范围。</w:t>
      </w:r>
    </w:p>
    <w:p w14:paraId="7B698F62">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4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pacing w:val="-4"/>
          <w:sz w:val="28"/>
          <w:szCs w:val="28"/>
          <w:lang w:val="en-US" w:eastAsia="zh-CN"/>
        </w:rPr>
        <w:t>智慧助残平台建设。积极对接市级残疾人服务信息库，以及智慧养老平台，实现残疾人两项补贴申领“一网通办”。</w:t>
      </w:r>
    </w:p>
    <w:p w14:paraId="73FA957C">
      <w:pPr>
        <w:keepNext w:val="0"/>
        <w:keepLines w:val="0"/>
        <w:pageBreakBefore w:val="0"/>
        <w:widowControl w:val="0"/>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spacing w:line="440" w:lineRule="exact"/>
        <w:ind w:firstLine="560" w:firstLineChars="200"/>
        <w:jc w:val="both"/>
        <w:textAlignment w:val="auto"/>
        <w:rPr>
          <w:rFonts w:hint="eastAsia" w:ascii="方正仿宋简体" w:hAnsi="方正仿宋简体" w:eastAsia="方正仿宋简体" w:cs="方正仿宋简体"/>
          <w:color w:val="auto"/>
          <w:spacing w:val="-4"/>
          <w:sz w:val="28"/>
          <w:szCs w:val="28"/>
          <w:lang w:val="en-US" w:eastAsia="zh-CN"/>
        </w:rPr>
      </w:pPr>
      <w:r>
        <w:rPr>
          <w:rFonts w:hint="eastAsia" w:ascii="Times New Roman" w:hAnsi="Times New Roman" w:eastAsia="方正仿宋简体" w:cs="Times New Roman"/>
          <w:color w:val="auto"/>
          <w:sz w:val="28"/>
          <w:szCs w:val="28"/>
          <w:lang w:val="en-US" w:eastAsia="zh-CN"/>
        </w:rPr>
        <w:t>3.</w:t>
      </w:r>
      <w:r>
        <w:rPr>
          <w:rFonts w:hint="eastAsia" w:ascii="方正仿宋简体" w:hAnsi="方正仿宋简体" w:eastAsia="方正仿宋简体" w:cs="方正仿宋简体"/>
          <w:color w:val="auto"/>
          <w:spacing w:val="-4"/>
          <w:sz w:val="28"/>
          <w:szCs w:val="28"/>
          <w:lang w:val="en-US" w:eastAsia="zh-CN"/>
        </w:rPr>
        <w:t>实施社区精神康复示范工程。立足“精康融合行动”试点，探索建设示范性社区精神康复站点，突出功能建设、政策机制、资金保障、人才培育“四位一体”，统一站点标识与服务清单。</w:t>
      </w:r>
    </w:p>
    <w:p w14:paraId="4CED4A45">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83" w:name="_Toc28323"/>
      <w:bookmarkStart w:id="84" w:name="_Toc15904"/>
      <w:bookmarkStart w:id="85" w:name="_Toc31221"/>
      <w:bookmarkStart w:id="86" w:name="_Toc11476"/>
      <w:bookmarkStart w:id="87" w:name="_Toc22902"/>
      <w:r>
        <w:rPr>
          <w:rFonts w:hint="eastAsia" w:ascii="方正楷体简体" w:hAnsi="方正楷体简体" w:eastAsia="方正楷体简体" w:cs="方正楷体简体"/>
          <w:b w:val="0"/>
          <w:bCs/>
          <w:color w:val="auto"/>
          <w:sz w:val="32"/>
          <w:szCs w:val="32"/>
          <w:lang w:val="en-US" w:eastAsia="zh-CN"/>
        </w:rPr>
        <w:t>第十一节 优化高原特色社会事务服务</w:t>
      </w:r>
      <w:bookmarkEnd w:id="83"/>
      <w:bookmarkEnd w:id="84"/>
      <w:bookmarkEnd w:id="85"/>
      <w:bookmarkEnd w:id="86"/>
      <w:bookmarkEnd w:id="87"/>
    </w:p>
    <w:p w14:paraId="79CCB917">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default" w:ascii="方正仿宋简体" w:hAnsi="方正仿宋简体" w:eastAsia="方正仿宋简体" w:cs="方正仿宋简体"/>
          <w:color w:val="auto"/>
          <w:kern w:val="2"/>
          <w:sz w:val="32"/>
          <w:szCs w:val="32"/>
          <w:lang w:val="en-US" w:eastAsia="zh-CN" w:bidi="ar-SA"/>
        </w:rPr>
      </w:pPr>
      <w:bookmarkStart w:id="88" w:name="_Toc30601"/>
      <w:bookmarkStart w:id="89" w:name="_Toc26285"/>
      <w:bookmarkStart w:id="90" w:name="_Toc3674"/>
      <w:r>
        <w:rPr>
          <w:rFonts w:hint="default" w:ascii="方正仿宋简体" w:hAnsi="方正仿宋简体" w:eastAsia="方正仿宋简体" w:cs="方正仿宋简体"/>
          <w:color w:val="auto"/>
          <w:kern w:val="2"/>
          <w:sz w:val="32"/>
          <w:szCs w:val="32"/>
          <w:lang w:val="en-US" w:eastAsia="zh-CN" w:bidi="ar-SA"/>
        </w:rPr>
        <w:t>持续完善婚姻家庭服务体系，不断加强殡葬服务体系建设，加快建成覆盖城乡、规范有序、民族特色鲜明的现代民政社会事务服务体系。</w:t>
      </w:r>
    </w:p>
    <w:p w14:paraId="6E97AD7B">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（39）完善婚姻家庭服务体系</w:t>
      </w:r>
      <w:bookmarkEnd w:id="88"/>
      <w:bookmarkEnd w:id="89"/>
      <w:bookmarkEnd w:id="90"/>
    </w:p>
    <w:p w14:paraId="4986C79F">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kern w:val="2"/>
          <w:sz w:val="32"/>
          <w:szCs w:val="32"/>
          <w:lang w:val="en-US" w:eastAsia="zh-CN" w:bidi="ar-SA"/>
        </w:rPr>
      </w:pPr>
      <w:r>
        <w:rPr>
          <w:rFonts w:hint="eastAsia" w:ascii="方正仿宋简体" w:hAnsi="方正仿宋简体" w:eastAsia="方正仿宋简体" w:cs="方正仿宋简体"/>
          <w:color w:val="auto"/>
          <w:kern w:val="2"/>
          <w:sz w:val="32"/>
          <w:szCs w:val="32"/>
          <w:lang w:val="en-US" w:eastAsia="zh-CN" w:bidi="ar-SA"/>
        </w:rPr>
        <w:t>坚持减证便民、规范管理，推进婚姻登记方式便捷化，有力服务和谐婚姻家庭建设。</w:t>
      </w:r>
    </w:p>
    <w:p w14:paraId="0CD19D38">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——推进婚姻登记便利化建设。</w:t>
      </w:r>
      <w:r>
        <w:rPr>
          <w:rFonts w:hint="default" w:ascii="方正仿宋简体" w:hAnsi="方正仿宋简体" w:eastAsia="方正仿宋简体" w:cs="方正仿宋简体"/>
          <w:color w:val="auto"/>
          <w:sz w:val="32"/>
          <w:szCs w:val="32"/>
          <w:lang w:val="en-US" w:eastAsia="zh-CN"/>
        </w:rPr>
        <w:t>坚持减证便民、规范管理，推进婚姻登记方式</w:t>
      </w:r>
      <w:r>
        <w:rPr>
          <w:rFonts w:hint="eastAsia" w:ascii="方正仿宋简体" w:hAnsi="方正仿宋简体" w:eastAsia="方正仿宋简体" w:cs="方正仿宋简体"/>
          <w:color w:val="auto"/>
          <w:sz w:val="32"/>
          <w:szCs w:val="32"/>
          <w:lang w:val="en-US" w:eastAsia="zh-CN"/>
        </w:rPr>
        <w:t>便捷化，</w:t>
      </w:r>
      <w:r>
        <w:rPr>
          <w:rFonts w:hint="default" w:ascii="方正仿宋简体" w:hAnsi="方正仿宋简体" w:eastAsia="方正仿宋简体" w:cs="方正仿宋简体"/>
          <w:color w:val="auto"/>
          <w:sz w:val="32"/>
          <w:szCs w:val="32"/>
          <w:lang w:val="en-US" w:eastAsia="zh-CN"/>
        </w:rPr>
        <w:t>有力服务和谐婚姻家庭建设。</w:t>
      </w:r>
      <w:r>
        <w:rPr>
          <w:rFonts w:hint="eastAsia" w:ascii="方正仿宋简体" w:hAnsi="方正仿宋简体" w:eastAsia="方正仿宋简体" w:cs="方正仿宋简体"/>
          <w:color w:val="auto"/>
          <w:sz w:val="32"/>
          <w:szCs w:val="32"/>
          <w:lang w:val="en-US" w:eastAsia="zh-CN"/>
        </w:rPr>
        <w:t>试点偏远乡镇婚姻登记窗口，优化服务流程，将颁证仪式引入结婚登记流程，完善婚姻登记“全国通办”服务。有效开展婚姻登记上门服务，为边远牧民提供便捷的婚姻登记服务。加强婚姻登记机关规范化建设，完善婚姻管理服务标准，推进婚姻登记工作数字化、精细化和智慧化。‌完善婚姻档案管理，建立婚姻登记档案管理制度，确保各类婚姻档案的完整性和安全性。</w:t>
      </w:r>
    </w:p>
    <w:p w14:paraId="7923B6B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婚姻家庭辅导服务体系。推动婚姻登记机构设立婚姻家庭辅导室，开展婚姻家庭辅导教育，建立婚姻家庭教育工作机制，推进婚姻家庭辅导教育，帮助新人树立正确的婚姻观，开展现代婚俗理念、健康家庭教育、和谐婚姻辅导、社会心理调适、家风家教等辅导教育服务，加强婚前指导、婚姻家庭关系调适和离婚辅导，减少婚姻家庭纠纷。鼓励婚姻登记机关设置社会工作岗位，开展婚姻家庭社会工作和志愿服务。</w:t>
      </w:r>
    </w:p>
    <w:p w14:paraId="219CCCE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持续推进婚姻领域移风易俗。倡导婚俗改革，树立婚俗新风尚，大力发展“甜蜜经济”，支持开展结婚颁证、集体婚礼、婚恋交友等特色服务。加强婚姻登记场所文化建设，增加优秀婚俗文化产品和服务供给，倡导健康文明、简约适度的婚俗文化。试点设置婚姻家庭文化教育基地。开展好家风好家教好家训进家庭、进社区、进乡村、进校园、进企业活动。</w:t>
      </w:r>
    </w:p>
    <w:p w14:paraId="1170924F">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91" w:name="_Toc16219"/>
      <w:bookmarkStart w:id="92" w:name="_Toc14945"/>
      <w:bookmarkStart w:id="93" w:name="_Toc9736"/>
      <w:r>
        <w:rPr>
          <w:rFonts w:hint="eastAsia" w:ascii="方正楷体简体" w:hAnsi="方正楷体简体" w:eastAsia="方正楷体简体" w:cs="方正楷体简体"/>
          <w:b w:val="0"/>
          <w:bCs w:val="0"/>
          <w:color w:val="auto"/>
          <w:sz w:val="32"/>
          <w:szCs w:val="32"/>
          <w:lang w:val="en-US" w:eastAsia="zh-CN"/>
        </w:rPr>
        <w:t>（40）加强殡葬</w:t>
      </w:r>
      <w:bookmarkEnd w:id="91"/>
      <w:bookmarkEnd w:id="92"/>
      <w:r>
        <w:rPr>
          <w:rFonts w:hint="eastAsia" w:ascii="方正楷体简体" w:hAnsi="方正楷体简体" w:eastAsia="方正楷体简体" w:cs="方正楷体简体"/>
          <w:b w:val="0"/>
          <w:bCs w:val="0"/>
          <w:color w:val="auto"/>
          <w:sz w:val="32"/>
          <w:szCs w:val="32"/>
          <w:lang w:val="en-US" w:eastAsia="zh-CN"/>
        </w:rPr>
        <w:t>服务</w:t>
      </w:r>
      <w:bookmarkEnd w:id="93"/>
      <w:r>
        <w:rPr>
          <w:rFonts w:hint="eastAsia" w:ascii="方正楷体简体" w:hAnsi="方正楷体简体" w:eastAsia="方正楷体简体" w:cs="方正楷体简体"/>
          <w:b w:val="0"/>
          <w:bCs w:val="0"/>
          <w:color w:val="auto"/>
          <w:sz w:val="32"/>
          <w:szCs w:val="32"/>
          <w:lang w:val="en-US" w:eastAsia="zh-CN"/>
        </w:rPr>
        <w:t>体系建设</w:t>
      </w:r>
    </w:p>
    <w:p w14:paraId="231CD679">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kern w:val="2"/>
          <w:sz w:val="32"/>
          <w:szCs w:val="32"/>
          <w:lang w:val="en-US" w:eastAsia="zh-CN" w:bidi="ar-SA"/>
        </w:rPr>
      </w:pPr>
      <w:r>
        <w:rPr>
          <w:rFonts w:hint="eastAsia" w:ascii="方正仿宋简体" w:hAnsi="方正仿宋简体" w:eastAsia="方正仿宋简体" w:cs="方正仿宋简体"/>
          <w:color w:val="auto"/>
          <w:kern w:val="2"/>
          <w:sz w:val="32"/>
          <w:szCs w:val="32"/>
          <w:lang w:val="en-US" w:eastAsia="zh-CN" w:bidi="ar-SA"/>
        </w:rPr>
        <w:t>明确基本殡葬服务均等化、延伸性殡葬服务多元化发展思路，加快构建以政府举办的非营利性的现代殡葬服务体系。</w:t>
      </w:r>
      <w:bookmarkStart w:id="220" w:name="_GoBack"/>
      <w:bookmarkEnd w:id="220"/>
    </w:p>
    <w:p w14:paraId="16063EB7">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基本殡葬服务保障制度。健全完善殡葬公共服务供给、殡葬市场监管、殡葬服务移风易俗等重要制度，完善殡葬制度体系。提高殡葬公共服务供给能力，完善基本殡葬服务清单，实施以减免遗体接运、暂存、火化、骨灰存放等基本殡葬服务费用为主要内容的惠民殡葬政策。加大服务保障力度，适当增加服务项目、扩大覆盖人群和提高保障标准，逐步实现基本殡葬公共服务普惠、均等。制定加强殡仪馆、公墓规范化管理工作的意见，推行绿色、生态殡葬，深入推进丧葬礼俗改革。</w:t>
      </w:r>
    </w:p>
    <w:p w14:paraId="7E0B2384">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——完善殡葬设施布局。优化殡仪服务设施布局，县级以上地方人民政府应当根据人口规模和分布，按需建设殡葬设施，合理设置服务网点。新建、改建、扩建殡葬设施应当依法办理用地、规划、建设等手续。</w:t>
      </w:r>
    </w:p>
    <w:p w14:paraId="1F94354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动殡葬服务机构规范化发展。实施市殡仪馆标准化改造升级工程，提升火化设备环保标准，补齐市殡仪馆殡葬服务设施短板，完善服务功能。加强市殡仪馆技术、管理人才队伍建设，重点培养专业技术人才，重点提升遗体整复（化妆）师、殡葬服务师、火化师等岗位职业能力与规范化操作水平，提升殡葬管理服务人员的政策水平、专业技能和职业道德素养。提高服务质量，完善服务事项，探索远程告别殡葬服务新模式，为群众提供更加便捷透明的殡葬服务。</w:t>
      </w:r>
    </w:p>
    <w:p w14:paraId="308D4CF0">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规范殡葬监督管理。加强价格监管，规范殡葬服务管理，落实属地管理和部门监管责任，强化殡葬服务事业单位公益属性，强化殡葬中介机构、服务企业规范诚信经营意识，依法查处不按规定明码标价、不执行政府定价、价格欺诈等价格违法行为。加强安全监管，建立健全殡葬服务机构安全管理制度，加强对殡葬设施设备、消防、车辆等方面的安全检查，消除安全隐患。制定应急预案，提高应急处置能力，确保殡葬服务安全有序运行。加强对天葬台的管理，天葬台应当划定保护区域，天葬台保护区域的具体范围由所在地县级人民政府划定保护红线并公告，在天葬台入口及周边显著位置设立保护标识，严格禁止破坏生态环境和干扰殡葬活动的行为。</w:t>
      </w:r>
    </w:p>
    <w:p w14:paraId="0791C65A">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动殡葬文化建设。充分发挥殡葬文化在精神文明建设中的重要作用，传承优秀传统文化，摒弃丧葬陋习，树立文明节俭、生态环保、移风易俗的殡葬新风尚。加强宣传教育。利用各类媒体宣传殡葬政策法规、殡葬改革成果，弘扬尊重生命、孝老爱亲、厚养礼葬、慎终追远的思想观念。培育现代殡葬礼仪。结合那曲地方特色和民族文化，培育和推广文明节俭的现代殡葬礼仪。鼓励殡葬服务机构开发体现民族特色、地方文化的殡仪服务产品，满足群众多样化、个性化需求。</w:t>
      </w:r>
    </w:p>
    <w:p w14:paraId="1A251A83">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94" w:name="_Toc14486"/>
      <w:bookmarkStart w:id="95" w:name="_Toc2410"/>
      <w:bookmarkStart w:id="96" w:name="_Toc6167"/>
      <w:bookmarkStart w:id="97" w:name="_Toc11124"/>
      <w:bookmarkStart w:id="98" w:name="_Toc28682"/>
      <w:r>
        <w:rPr>
          <w:rFonts w:hint="eastAsia" w:ascii="方正楷体简体" w:hAnsi="方正楷体简体" w:eastAsia="方正楷体简体" w:cs="方正楷体简体"/>
          <w:b w:val="0"/>
          <w:bCs/>
          <w:color w:val="auto"/>
          <w:sz w:val="32"/>
          <w:szCs w:val="32"/>
          <w:lang w:val="en-US" w:eastAsia="zh-CN"/>
        </w:rPr>
        <w:t>第十二节 促进社会组织</w:t>
      </w:r>
      <w:bookmarkEnd w:id="94"/>
      <w:bookmarkEnd w:id="95"/>
      <w:bookmarkEnd w:id="96"/>
      <w:r>
        <w:rPr>
          <w:rFonts w:hint="eastAsia" w:ascii="方正楷体简体" w:hAnsi="方正楷体简体" w:eastAsia="方正楷体简体" w:cs="方正楷体简体"/>
          <w:b w:val="0"/>
          <w:bCs/>
          <w:color w:val="auto"/>
          <w:sz w:val="32"/>
          <w:szCs w:val="32"/>
          <w:lang w:val="en-US" w:eastAsia="zh-CN"/>
        </w:rPr>
        <w:t>全面发展</w:t>
      </w:r>
      <w:bookmarkEnd w:id="97"/>
      <w:bookmarkEnd w:id="98"/>
    </w:p>
    <w:p w14:paraId="454AA07B">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kern w:val="2"/>
          <w:sz w:val="32"/>
          <w:szCs w:val="32"/>
          <w:lang w:val="en-US" w:eastAsia="zh-CN" w:bidi="ar-SA"/>
        </w:rPr>
      </w:pPr>
      <w:r>
        <w:rPr>
          <w:rFonts w:hint="eastAsia" w:ascii="方正仿宋简体" w:hAnsi="方正仿宋简体" w:eastAsia="方正仿宋简体" w:cs="方正仿宋简体"/>
          <w:color w:val="auto"/>
          <w:kern w:val="2"/>
          <w:sz w:val="32"/>
          <w:szCs w:val="32"/>
          <w:lang w:val="en-US" w:eastAsia="zh-CN" w:bidi="ar-SA"/>
        </w:rPr>
        <w:t>加强社会组织培育扶持，优化社会组织登记管理，加大社会组织监管执法力度，推动社会组织在服务国家、服务社会、服务行业、服务群众、服务基层治理等方面发挥更大作用，加快形成制度完备、管理规范的发展格局。</w:t>
      </w:r>
    </w:p>
    <w:p w14:paraId="074EA14A">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99" w:name="_Toc15684"/>
      <w:bookmarkStart w:id="100" w:name="_Toc32755"/>
      <w:bookmarkStart w:id="101" w:name="_Toc29523"/>
      <w:r>
        <w:rPr>
          <w:rFonts w:hint="eastAsia" w:ascii="方正楷体简体" w:hAnsi="方正楷体简体" w:eastAsia="方正楷体简体" w:cs="方正楷体简体"/>
          <w:b w:val="0"/>
          <w:bCs w:val="0"/>
          <w:color w:val="auto"/>
          <w:sz w:val="32"/>
          <w:szCs w:val="32"/>
          <w:lang w:val="en-US" w:eastAsia="zh-CN"/>
        </w:rPr>
        <w:t>（41）加大社会组织培育扶持</w:t>
      </w:r>
      <w:bookmarkEnd w:id="99"/>
      <w:bookmarkEnd w:id="100"/>
      <w:bookmarkEnd w:id="101"/>
    </w:p>
    <w:p w14:paraId="3CA15EAB">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实施高原特点社会组织培育计划，扶持“科技+高原生态”类环保组织、养老与儿童福利类公益组织和促进民族团结进步的社会工作服务机构等，引导成立那曲特色社会组织，补齐公共服务短板，形成各具特色的社会组织集群。重点培养行业性、公益性、枢纽型等骨干社会组织，提升专业服务能力。对社区基层“小微”社会组织，以备案赋予合法身份并提供指导，扶持其成长壮大。完善社会组织服务体系，加快社会组织人才培养。培育社区社会组织，大力推进社区社会组织发展，推动县（区）社会组织数量提升。加大政府购买社会组织服务力度，完善政府购买服务的工作机制、流程、标准和清单，推动社会组织在承接政府职能转移事项中规范运作。</w:t>
      </w:r>
    </w:p>
    <w:p w14:paraId="4EE2AF40">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outlineLvl w:val="2"/>
        <w:rPr>
          <w:rFonts w:hint="eastAsia" w:ascii="方正仿宋简体" w:hAnsi="方正仿宋简体" w:eastAsia="方正仿宋简体" w:cs="方正仿宋简体"/>
          <w:b/>
          <w:bCs/>
          <w:color w:val="auto"/>
          <w:sz w:val="32"/>
          <w:szCs w:val="32"/>
          <w:lang w:val="en-US" w:eastAsia="zh-CN"/>
        </w:rPr>
      </w:pPr>
      <w:bookmarkStart w:id="102" w:name="_Toc5979"/>
      <w:bookmarkStart w:id="103" w:name="_Toc5092"/>
      <w:bookmarkStart w:id="104" w:name="_Toc24260"/>
      <w:r>
        <w:rPr>
          <w:rFonts w:hint="eastAsia" w:ascii="方正楷体简体" w:hAnsi="方正楷体简体" w:eastAsia="方正楷体简体" w:cs="方正楷体简体"/>
          <w:b w:val="0"/>
          <w:bCs w:val="0"/>
          <w:color w:val="auto"/>
          <w:sz w:val="32"/>
          <w:szCs w:val="32"/>
          <w:lang w:val="en-US" w:eastAsia="zh-CN"/>
        </w:rPr>
        <w:t>（42）完善社会组织登记</w:t>
      </w:r>
      <w:bookmarkEnd w:id="102"/>
      <w:bookmarkEnd w:id="103"/>
      <w:bookmarkEnd w:id="104"/>
      <w:r>
        <w:rPr>
          <w:rFonts w:hint="eastAsia" w:ascii="方正楷体简体" w:hAnsi="方正楷体简体" w:eastAsia="方正楷体简体" w:cs="方正楷体简体"/>
          <w:b w:val="0"/>
          <w:bCs w:val="0"/>
          <w:color w:val="auto"/>
          <w:sz w:val="32"/>
          <w:szCs w:val="32"/>
          <w:lang w:val="en-US" w:eastAsia="zh-CN"/>
        </w:rPr>
        <w:t>服务</w:t>
      </w:r>
    </w:p>
    <w:p w14:paraId="32479C77">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坚持和完善双重管理为主、直接登记为辅的分类登记管理体制。建立健全登记管理机关、业务主管单位、职能部门协同配合机制。加强备案社区社会组织服务管理。优化社会组织登记审核流程，完善社会组织登记“一网通办”服务，建设完善网上登记管理系统。</w:t>
      </w:r>
    </w:p>
    <w:p w14:paraId="48AD0763">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05" w:name="_Toc27687"/>
      <w:bookmarkStart w:id="106" w:name="_Toc9046"/>
      <w:bookmarkStart w:id="107" w:name="_Toc10803"/>
      <w:r>
        <w:rPr>
          <w:rFonts w:hint="eastAsia" w:ascii="方正楷体简体" w:hAnsi="方正楷体简体" w:eastAsia="方正楷体简体" w:cs="方正楷体简体"/>
          <w:b w:val="0"/>
          <w:bCs w:val="0"/>
          <w:color w:val="auto"/>
          <w:sz w:val="32"/>
          <w:szCs w:val="32"/>
          <w:lang w:val="en-US" w:eastAsia="zh-CN"/>
        </w:rPr>
        <w:t>（43）创新社会组织综合</w:t>
      </w:r>
      <w:bookmarkEnd w:id="105"/>
      <w:bookmarkEnd w:id="106"/>
      <w:bookmarkEnd w:id="107"/>
      <w:r>
        <w:rPr>
          <w:rFonts w:hint="eastAsia" w:ascii="方正楷体简体" w:hAnsi="方正楷体简体" w:eastAsia="方正楷体简体" w:cs="方正楷体简体"/>
          <w:b w:val="0"/>
          <w:bCs w:val="0"/>
          <w:color w:val="auto"/>
          <w:sz w:val="32"/>
          <w:szCs w:val="32"/>
          <w:lang w:val="en-US" w:eastAsia="zh-CN"/>
        </w:rPr>
        <w:t>治理</w:t>
      </w:r>
    </w:p>
    <w:p w14:paraId="1C2850B4">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社会组织党的建设，完善社会组织法人治理，加强对社会组织发起人、负责人的监管，强化对社会组织资金和重大事项的监管。鼓励和引导社会组织建立风险内控制度，畅通公众参与监督渠道。完善社会组织年度检查、年度报告、专项行政检查、抽查审计和第三方评估制度。深化社会组织信用管理，全面实施社会组织异常名录和严重违法失信名单制度。加强基层执法能力建设，加大对社会组织违法行为和非法社会组织查处力度，健全完善社会组织清算、注销等制度，规范发展秩序。</w:t>
      </w:r>
    </w:p>
    <w:p w14:paraId="0BF7B568">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08" w:name="_Toc4822"/>
      <w:bookmarkStart w:id="109" w:name="_Toc14470"/>
      <w:bookmarkStart w:id="110" w:name="_Toc29531"/>
      <w:r>
        <w:rPr>
          <w:rFonts w:hint="eastAsia" w:ascii="方正楷体简体" w:hAnsi="方正楷体简体" w:eastAsia="方正楷体简体" w:cs="方正楷体简体"/>
          <w:b w:val="0"/>
          <w:bCs w:val="0"/>
          <w:color w:val="auto"/>
          <w:sz w:val="32"/>
          <w:szCs w:val="32"/>
          <w:lang w:val="en-US" w:eastAsia="zh-CN"/>
        </w:rPr>
        <w:t>（44）发挥社会组织积极作用</w:t>
      </w:r>
      <w:bookmarkEnd w:id="108"/>
      <w:bookmarkEnd w:id="109"/>
      <w:bookmarkEnd w:id="110"/>
    </w:p>
    <w:p w14:paraId="7B328BE8">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完善社会组织全方位多层次参与体系。促进发挥服务行业自治管理作用，推动建立行业自律公约制度，通过推行发布公益倡导、制定活动准则、实行声誉评价等形式，引领和规范行业发展。推进社会组织参与基层治理，推动将社区社会组织带头人或业务骨干吸纳为居民代表会议等组织的成员。建立健全相关重要会议邀请社会组织代表参加或列席、重大决策征求社会组织意见制度，提高社会组织公共事务参与度。推动建立社会组织参与社会救助和关爱服务工作机制与平台。</w:t>
      </w:r>
    </w:p>
    <w:p w14:paraId="33ADF12D">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80" w:lineRule="exact"/>
        <w:jc w:val="center"/>
        <w:textAlignment w:val="auto"/>
        <w:outlineLvl w:val="1"/>
        <w:rPr>
          <w:rFonts w:hint="eastAsia" w:ascii="方正仿宋简体" w:hAnsi="方正仿宋简体" w:eastAsia="方正仿宋简体" w:cs="方正仿宋简体"/>
          <w:b w:val="0"/>
          <w:bCs w:val="0"/>
          <w:color w:val="auto"/>
          <w:sz w:val="28"/>
          <w:szCs w:val="28"/>
          <w:lang w:val="en-US" w:eastAsia="zh-CN"/>
        </w:rPr>
      </w:pPr>
      <w:bookmarkStart w:id="111" w:name="_Toc951"/>
      <w:r>
        <w:rPr>
          <w:rFonts w:hint="eastAsia" w:ascii="方正仿宋简体" w:hAnsi="方正仿宋简体" w:eastAsia="方正仿宋简体" w:cs="方正仿宋简体"/>
          <w:b w:val="0"/>
          <w:bCs w:val="0"/>
          <w:color w:val="auto"/>
          <w:sz w:val="28"/>
          <w:szCs w:val="28"/>
          <w:lang w:val="en-US" w:eastAsia="zh-CN"/>
        </w:rPr>
        <w:t>专栏五：社会组织管理服务提升工程</w:t>
      </w:r>
      <w:bookmarkEnd w:id="111"/>
    </w:p>
    <w:p w14:paraId="5C2CD041">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40" w:lineRule="exact"/>
        <w:ind w:firstLine="560" w:firstLineChars="200"/>
        <w:textAlignment w:val="auto"/>
        <w:rPr>
          <w:rFonts w:hint="eastAsia" w:ascii="方正仿宋简体" w:hAnsi="方正仿宋简体" w:eastAsia="方正仿宋简体" w:cs="方正仿宋简体"/>
          <w:color w:val="auto"/>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z w:val="28"/>
          <w:szCs w:val="28"/>
          <w:lang w:val="en-US" w:eastAsia="zh-CN"/>
        </w:rPr>
        <w:t>社会组织培育发展工程。为加强行业社会治理，促进行业规范运行，重点在行业协会商会、公益慈善类组织中实施社会组织培育发展工程。实施社区社会组织培育发展计划，培育发展社区社会组织。</w:t>
      </w:r>
    </w:p>
    <w:p w14:paraId="627ED0F0">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40" w:lineRule="exact"/>
        <w:ind w:firstLine="560" w:firstLineChars="200"/>
        <w:textAlignment w:val="auto"/>
        <w:rPr>
          <w:rFonts w:hint="eastAsia" w:ascii="方正仿宋简体" w:hAnsi="方正仿宋简体" w:eastAsia="方正仿宋简体" w:cs="方正仿宋简体"/>
          <w:color w:val="auto"/>
          <w:sz w:val="28"/>
          <w:szCs w:val="28"/>
          <w:lang w:val="en-US" w:eastAsia="zh-CN"/>
        </w:rPr>
      </w:pPr>
      <w:r>
        <w:rPr>
          <w:rFonts w:hint="eastAsia"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z w:val="28"/>
          <w:szCs w:val="28"/>
          <w:lang w:val="en-US" w:eastAsia="zh-CN"/>
        </w:rPr>
        <w:t>社会组织法人治理工程。深入开展规范社会组织法人治理专项整治工作，健全完善社会组织法人治理制度，不断提升社会组织的服务能力，逐步建立使命清晰、政社分开、依法自治、运行高效的现代社会组织制度。</w:t>
      </w:r>
    </w:p>
    <w:p w14:paraId="41A26099">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112" w:name="_Toc16151"/>
      <w:bookmarkStart w:id="113" w:name="_Toc8010"/>
      <w:bookmarkStart w:id="114" w:name="_Toc2770"/>
      <w:bookmarkStart w:id="115" w:name="_Toc45"/>
      <w:r>
        <w:rPr>
          <w:rFonts w:hint="eastAsia" w:ascii="方正楷体简体" w:hAnsi="方正楷体简体" w:eastAsia="方正楷体简体" w:cs="方正楷体简体"/>
          <w:b w:val="0"/>
          <w:bCs/>
          <w:color w:val="auto"/>
          <w:sz w:val="32"/>
          <w:szCs w:val="32"/>
          <w:lang w:val="en-US" w:eastAsia="zh-CN"/>
        </w:rPr>
        <w:t>第十三节 强化区划地名服务管理</w:t>
      </w:r>
      <w:bookmarkEnd w:id="112"/>
      <w:bookmarkEnd w:id="113"/>
      <w:bookmarkEnd w:id="114"/>
      <w:bookmarkEnd w:id="115"/>
    </w:p>
    <w:p w14:paraId="4D775782">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bookmarkStart w:id="116" w:name="_Toc10229"/>
      <w:bookmarkStart w:id="117" w:name="_Toc26276"/>
      <w:r>
        <w:rPr>
          <w:rFonts w:hint="default" w:ascii="方正仿宋简体" w:hAnsi="方正仿宋简体" w:eastAsia="方正仿宋简体" w:cs="方正仿宋简体"/>
          <w:color w:val="auto"/>
          <w:sz w:val="32"/>
          <w:szCs w:val="32"/>
          <w:lang w:val="en-US" w:eastAsia="zh-CN"/>
        </w:rPr>
        <w:t>严格执行《行政区划管理条例》《行政区域界线管理条例》及《西藏自治区实施〈行政区域界线管理条例〉办法》等法律法规，全面加强行政区划和界线管理，进一步提升行政区划和界线管理的科学化、规范化、法治化水平。</w:t>
      </w:r>
    </w:p>
    <w:p w14:paraId="188C383A">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（45）规范行政区划管理</w:t>
      </w:r>
      <w:bookmarkEnd w:id="116"/>
      <w:bookmarkEnd w:id="117"/>
    </w:p>
    <w:p w14:paraId="341DF73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强化行政区划的规划引导，围绕那曲市作为西藏自治区羌塘油气能源基地、高原特色畜牧业产品供应地、极地高原物种科考基地的战略定位，科学评估行政区划设置与经济社会发展、新型城镇化建设的适应性。加强行政区划调整的前瞻性论证，优化城镇体系结构，促进区域协调发展。严格规范行政区划变更程序，</w:t>
      </w:r>
      <w:r>
        <w:rPr>
          <w:rFonts w:hint="default" w:ascii="方正仿宋简体" w:hAnsi="方正仿宋简体" w:eastAsia="方正仿宋简体" w:cs="方正仿宋简体"/>
          <w:color w:val="auto"/>
          <w:sz w:val="32"/>
          <w:szCs w:val="32"/>
          <w:lang w:val="en-US" w:eastAsia="zh-CN"/>
        </w:rPr>
        <w:t>认真落实国务院关于行政区划管理的规定</w:t>
      </w:r>
      <w:r>
        <w:rPr>
          <w:rFonts w:hint="eastAsia" w:ascii="方正仿宋简体" w:hAnsi="方正仿宋简体" w:eastAsia="方正仿宋简体" w:cs="方正仿宋简体"/>
          <w:color w:val="auto"/>
          <w:sz w:val="32"/>
          <w:szCs w:val="32"/>
          <w:lang w:val="en-US" w:eastAsia="zh-CN"/>
        </w:rPr>
        <w:t>，按规定的审批权限和程序办理。</w:t>
      </w:r>
    </w:p>
    <w:p w14:paraId="351069B0">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18" w:name="_Toc12355"/>
      <w:bookmarkStart w:id="119" w:name="_Toc1853"/>
      <w:r>
        <w:rPr>
          <w:rFonts w:hint="eastAsia" w:ascii="方正楷体简体" w:hAnsi="方正楷体简体" w:eastAsia="方正楷体简体" w:cs="方正楷体简体"/>
          <w:b w:val="0"/>
          <w:bCs w:val="0"/>
          <w:color w:val="auto"/>
          <w:sz w:val="32"/>
          <w:szCs w:val="32"/>
          <w:lang w:val="en-US" w:eastAsia="zh-CN"/>
        </w:rPr>
        <w:t>（46）深化行政区域界线管理</w:t>
      </w:r>
      <w:bookmarkEnd w:id="118"/>
      <w:bookmarkEnd w:id="119"/>
    </w:p>
    <w:p w14:paraId="28A31AD0">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——巩固行政区域界线勘定成果。</w:t>
      </w:r>
      <w:r>
        <w:rPr>
          <w:rFonts w:hint="default" w:ascii="方正仿宋简体" w:hAnsi="方正仿宋简体" w:eastAsia="方正仿宋简体" w:cs="方正仿宋简体"/>
          <w:color w:val="auto"/>
          <w:sz w:val="32"/>
          <w:szCs w:val="32"/>
          <w:lang w:val="en-US" w:eastAsia="zh-CN"/>
        </w:rPr>
        <w:t>依法有序推进省、县两级行政区域界线联合检查，每3年对界桩和界线标志物联合检查一次，防范化解行政区域界线争议</w:t>
      </w:r>
      <w:r>
        <w:rPr>
          <w:rFonts w:hint="eastAsia" w:ascii="方正仿宋简体" w:hAnsi="方正仿宋简体" w:eastAsia="方正仿宋简体" w:cs="方正仿宋简体"/>
          <w:color w:val="auto"/>
          <w:sz w:val="32"/>
          <w:szCs w:val="32"/>
          <w:lang w:val="en-US" w:eastAsia="zh-CN"/>
        </w:rPr>
        <w:t>。强化跨区域部门协同，健全边界纠纷协商机制和突发事件应急处理预案，完善事前事中事后处理机制。遇有自然灾害、河流改道等特殊情况，应随时安排联合检查。规范乡级行政区域界线勘界工作，做好规划调整后行政区域界线勘定工作。</w:t>
      </w:r>
    </w:p>
    <w:p w14:paraId="412B43B1">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界桩管理和维护。做好行政区域界线和界桩标志物的管护工作，及时修复更换损毁、移位等界桩。对损坏的界桩，分工管理方应及时修复，毗邻方应在场监督。确因建设开发需移动或增设界桩的，毗邻各方人民政府应协商一致，共同测绘并报批备案。积极推进平安边界建设工作，宣传行政区域界线法律法规和相关政策协议制度，创新边界文化建设工作，切实维护边界地区和谐稳定。</w:t>
      </w:r>
    </w:p>
    <w:p w14:paraId="1F43222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进界线管理信息化建设。推进行政区域界线数字化管理工作，逐步整合行政区域界线信息、界桩数据、边界争议历史档案等，实现界线信息的数字化、动态化管理，不断提高界线管理的规范化、智能化水平。</w:t>
      </w:r>
    </w:p>
    <w:p w14:paraId="5E3D71BF">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20" w:name="_Toc94276133"/>
      <w:bookmarkStart w:id="121" w:name="_Toc19073"/>
      <w:bookmarkStart w:id="122" w:name="_Toc31450"/>
      <w:bookmarkStart w:id="123" w:name="_Toc32422"/>
      <w:r>
        <w:rPr>
          <w:rFonts w:hint="eastAsia" w:ascii="方正楷体简体" w:hAnsi="方正楷体简体" w:eastAsia="方正楷体简体" w:cs="方正楷体简体"/>
          <w:b w:val="0"/>
          <w:bCs w:val="0"/>
          <w:color w:val="auto"/>
          <w:sz w:val="32"/>
          <w:szCs w:val="32"/>
          <w:lang w:val="en-US" w:eastAsia="zh-CN"/>
        </w:rPr>
        <w:t>（47）提高地名公共服务</w:t>
      </w:r>
      <w:bookmarkEnd w:id="120"/>
      <w:r>
        <w:rPr>
          <w:rFonts w:hint="eastAsia" w:ascii="方正楷体简体" w:hAnsi="方正楷体简体" w:eastAsia="方正楷体简体" w:cs="方正楷体简体"/>
          <w:b w:val="0"/>
          <w:bCs w:val="0"/>
          <w:color w:val="auto"/>
          <w:sz w:val="32"/>
          <w:szCs w:val="32"/>
          <w:lang w:val="en-US" w:eastAsia="zh-CN"/>
        </w:rPr>
        <w:t>能力</w:t>
      </w:r>
      <w:bookmarkEnd w:id="121"/>
      <w:bookmarkEnd w:id="122"/>
      <w:bookmarkEnd w:id="123"/>
    </w:p>
    <w:p w14:paraId="60297CDA">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健全地名管理体制机制。全面落实新修订的《地名管理条例》及《地名管理条例实施办法》，完善地名管理制度体系，规范地名命名更名管理，规范地名使用拼写和地名标志设置管理，加强监督检查。规范命名更名申报程序，完善审核审批制度，推进地名服务科学化、规范化、法治化，提高地名标准化水平。</w:t>
      </w:r>
    </w:p>
    <w:p w14:paraId="04255FFA">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提高地名公共服务水平。深化“乡村著名行动”，健全乡村地名命名管理机制，总结提炼典型经验和创新做法，赋能基层服务和乡村振兴。推进地名管理与服务标准化，完善地名数据库建设，规范地名命名、更名和标志设置，提升地名公共服务水平，传承和保护优秀传统地名文化。</w:t>
      </w:r>
    </w:p>
    <w:p w14:paraId="6E359733">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构建地名文化传承保护体系。加强少数民族地名文化保护传承，系统梳理那曲富有民族特色和历史价值的老地名，健全地名文化遗产保护名录制度，将具有历史文化价值的传统地名、红色地名纳入名录并实施分类保护，建立并发布市、县（区）两级历史地名保护名录，传承和弘扬优秀传统地名文化。深入挖掘藏语地名蕴含的民族文化内涵，规范藏语地名汉字译写和拼音标注工作，推动在地名标志上使用藏汉双语标识，彰显中华民族多元一体格局下的西藏特色。持续推进地名文化宣传保护工作，讲好地名文化故事，弘扬中华优秀传统文化，铸牢中华民族共同体意识。</w:t>
      </w:r>
    </w:p>
    <w:p w14:paraId="66FF0909">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124" w:name="_Toc8984"/>
      <w:bookmarkStart w:id="125" w:name="_Toc7939"/>
      <w:bookmarkStart w:id="126" w:name="_Toc27456"/>
      <w:bookmarkStart w:id="127" w:name="_Toc12394"/>
      <w:bookmarkStart w:id="128" w:name="_Toc9949"/>
      <w:r>
        <w:rPr>
          <w:rFonts w:hint="eastAsia" w:ascii="方正楷体简体" w:hAnsi="方正楷体简体" w:eastAsia="方正楷体简体" w:cs="方正楷体简体"/>
          <w:b w:val="0"/>
          <w:bCs/>
          <w:color w:val="auto"/>
          <w:sz w:val="32"/>
          <w:szCs w:val="32"/>
          <w:lang w:val="en-US" w:eastAsia="zh-CN"/>
        </w:rPr>
        <w:t>第十四节 健全社会公益事业发展体系</w:t>
      </w:r>
      <w:bookmarkEnd w:id="124"/>
      <w:bookmarkEnd w:id="125"/>
      <w:bookmarkEnd w:id="126"/>
      <w:bookmarkEnd w:id="127"/>
      <w:bookmarkEnd w:id="128"/>
    </w:p>
    <w:p w14:paraId="4B994DCB">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bookmarkStart w:id="129" w:name="_Toc9741"/>
      <w:bookmarkStart w:id="130" w:name="_Toc8218"/>
      <w:bookmarkStart w:id="131" w:name="_Toc22274"/>
      <w:r>
        <w:rPr>
          <w:rFonts w:hint="eastAsia" w:ascii="方正仿宋简体" w:hAnsi="方正仿宋简体" w:eastAsia="方正仿宋简体" w:cs="方正仿宋简体"/>
          <w:color w:val="auto"/>
          <w:sz w:val="32"/>
          <w:szCs w:val="32"/>
          <w:lang w:val="en-US" w:eastAsia="zh-CN"/>
        </w:rPr>
        <w:t>坚持党委领导、政府推动、民间运作、社会参与、各方协作，着力构建制度保障有力、参与渠道便捷、帮扶成效显著、文化氛围浓厚的现代社会公益事业发展新格局，引导社会公益资源向基层和困难群众倾斜，打造温暖那曲。</w:t>
      </w:r>
    </w:p>
    <w:p w14:paraId="7A8E39E1">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（48）推进慈善事业有序发展</w:t>
      </w:r>
      <w:bookmarkEnd w:id="129"/>
      <w:bookmarkEnd w:id="130"/>
      <w:bookmarkEnd w:id="131"/>
    </w:p>
    <w:p w14:paraId="04E25B39">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培育和发展慈善事业。加大慈善组织孵化力度，加快培育发展慈善组织，建立健全慈善信息统计和发布制度，加强慈善组织登记、认定和监督管理，加强专业人才培养。推进慈善事业创新发展，培育和规范发展互联网慈善，推动日常捐赠活动可持续发展。充分运用政府购买服务等多种形式，为慈善组织提供资金支持和能力建设服务。鼓励宗教界依法依规开展慈善活动。</w:t>
      </w:r>
    </w:p>
    <w:p w14:paraId="3AAEF59C">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强化慈善领域制度建设。全面贯彻落实《中华人民共和国慈善法》及相关配套法规。引导慈善组织和慈善力量对接社会救助、社会福利等需求，完善慈善组织培育扶持、慈善组织监管、慈善组织信息公开、慈善活动激励表彰等政策，健全慈善事业发展经费、人才保障机制。</w:t>
      </w:r>
    </w:p>
    <w:p w14:paraId="367BE3F9">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慈善组织监管。加强慈善组织动态监管，规范发展互联网慈善，构建行业自律、社会监督、政府监管相结合的综合监管体系。建立慈善信用记录制度，完善投诉举报受理机制，依法及时查处慈善领域违法行为。加强对募捐活动、慈善资金使用的监督，运用信息化手段实时监测资金流向，确保善款依法依规使用。严厉打击非法社会募捐和网络诈骗等违法行为，维护捐赠者合法权益和慈善行业声誉，营造诚信守法的公益环境。完善慈善信息统计和发布制度，健全慈善信用评价和惩戒机制，鼓励慈善组织与公立机构、社会组织开展合作，通过政府购买服务支持专业化发展。</w:t>
      </w:r>
    </w:p>
    <w:p w14:paraId="2E30A0AE">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32" w:name="_Toc7222"/>
      <w:bookmarkStart w:id="133" w:name="_Toc21556"/>
      <w:bookmarkStart w:id="134" w:name="_Toc12216"/>
      <w:bookmarkStart w:id="135" w:name="_Toc1681"/>
      <w:bookmarkStart w:id="136" w:name="_Toc19456"/>
      <w:bookmarkStart w:id="137" w:name="_Toc25036"/>
      <w:bookmarkStart w:id="138" w:name="_Toc18872"/>
      <w:bookmarkStart w:id="139" w:name="_Toc2742"/>
      <w:r>
        <w:rPr>
          <w:rFonts w:hint="eastAsia" w:ascii="方正楷体简体" w:hAnsi="方正楷体简体" w:eastAsia="方正楷体简体" w:cs="方正楷体简体"/>
          <w:b w:val="0"/>
          <w:bCs w:val="0"/>
          <w:color w:val="auto"/>
          <w:sz w:val="32"/>
          <w:szCs w:val="32"/>
          <w:lang w:val="en-US" w:eastAsia="zh-CN"/>
        </w:rPr>
        <w:t>（49）完善福利彩票销售管理</w:t>
      </w:r>
      <w:bookmarkEnd w:id="132"/>
      <w:bookmarkEnd w:id="133"/>
      <w:bookmarkEnd w:id="134"/>
    </w:p>
    <w:p w14:paraId="6DB0340A">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落实区福利彩票销售管理规定，筑牢安全发展底线。加强从业人员培训和考核，确保福彩销售依法合规。强化福利彩票国家属性、人民属性、公益属性，坚持“扶老、助残、救孤、济困”的发行宗旨，推动“福彩圆梦·孤儿助学工程”有效实施。明确销售机构的职能，优化销售站点布局，稳步拓展乡镇兼业渠道。坚决打击非法彩票，严禁向未成年人售彩。加大福利彩票公益金使用情况宣传力度，提升福彩公益品牌形象。</w:t>
      </w:r>
      <w:bookmarkEnd w:id="135"/>
      <w:bookmarkEnd w:id="136"/>
    </w:p>
    <w:p w14:paraId="61FB30AD">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提高福利彩票公益金使用效益。坚持“善行盛世、公益福彩”的核心定位，高举公益旗帜，强化正面宣传，传播“公益、责任、阳光”的福彩品牌价值。根据自治区福利彩票公益金支持项目清单要求，制定市福利彩票公益金支持项目清单，重点聚焦残疾人福利、儿童保护、养老服务等领域，实施一批惠民生、补短板的项目。建立公益金项目绩效评估制度，对资助项目的社会效益进行跟踪问效，逐步提高公益金使用精准度和可持续性。</w:t>
      </w:r>
    </w:p>
    <w:p w14:paraId="2B2F793F">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——强化福利彩票公益金监管。全面落实自治区福利彩票公益金监管的相关规定，强化市级福利彩票公益金监管职责。</w:t>
      </w:r>
    </w:p>
    <w:p w14:paraId="343F0058">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40" w:name="_Toc18545"/>
      <w:bookmarkStart w:id="141" w:name="_Toc25812"/>
      <w:bookmarkStart w:id="142" w:name="_Toc14015"/>
      <w:r>
        <w:rPr>
          <w:rFonts w:hint="eastAsia" w:ascii="方正楷体简体" w:hAnsi="方正楷体简体" w:eastAsia="方正楷体简体" w:cs="方正楷体简体"/>
          <w:b w:val="0"/>
          <w:bCs w:val="0"/>
          <w:color w:val="auto"/>
          <w:sz w:val="32"/>
          <w:szCs w:val="32"/>
          <w:lang w:val="en-US" w:eastAsia="zh-CN"/>
        </w:rPr>
        <w:t>（50）加强民政机构社会工作</w:t>
      </w:r>
      <w:bookmarkEnd w:id="140"/>
      <w:bookmarkEnd w:id="141"/>
      <w:bookmarkEnd w:id="142"/>
    </w:p>
    <w:p w14:paraId="431961D5">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社会工作专业人才队伍建设，全面加强民政相关机构的社会工作。设置和规范社会福利、社会救助、职工关爱、慈善事业、社区建设、婚姻家庭、精神残疾人康复、公益服务等相关公益事业单位社会工作岗位。持续实施社会工作专业人才培养计划，逐步健全学历教育、专业培训和知识普及有机结合的社会工作专业人才分级分类培养体系。深化社会工作领域职业水平评价，完善社会工作师评审机制</w:t>
      </w:r>
      <w:bookmarkStart w:id="143" w:name="_Toc18268"/>
      <w:bookmarkStart w:id="144" w:name="_Toc26262"/>
      <w:r>
        <w:rPr>
          <w:rFonts w:hint="eastAsia" w:ascii="方正仿宋简体" w:hAnsi="方正仿宋简体" w:eastAsia="方正仿宋简体" w:cs="方正仿宋简体"/>
          <w:color w:val="auto"/>
          <w:sz w:val="32"/>
          <w:szCs w:val="32"/>
          <w:lang w:val="en-US" w:eastAsia="zh-CN"/>
        </w:rPr>
        <w:t>，持续推进社会工作职业水平评价，加强对优秀社会工作专业人才的褒扬激励。</w:t>
      </w:r>
      <w:bookmarkEnd w:id="143"/>
      <w:bookmarkEnd w:id="144"/>
    </w:p>
    <w:p w14:paraId="544B78E1">
      <w:pPr>
        <w:rPr>
          <w:rFonts w:hint="eastAsia" w:ascii="方正仿宋简体" w:hAnsi="方正仿宋简体" w:eastAsia="方正仿宋简体" w:cs="方正仿宋简体"/>
          <w:b/>
          <w:bCs/>
          <w:color w:val="auto"/>
          <w:sz w:val="28"/>
          <w:szCs w:val="28"/>
          <w:lang w:val="en-US" w:eastAsia="zh-CN"/>
        </w:rPr>
      </w:pPr>
      <w:r>
        <w:rPr>
          <w:rFonts w:hint="eastAsia" w:ascii="方正仿宋简体" w:hAnsi="方正仿宋简体" w:eastAsia="方正仿宋简体" w:cs="方正仿宋简体"/>
          <w:b/>
          <w:bCs/>
          <w:color w:val="auto"/>
          <w:sz w:val="28"/>
          <w:szCs w:val="28"/>
          <w:lang w:val="en-US" w:eastAsia="zh-CN"/>
        </w:rPr>
        <w:br w:type="page"/>
      </w:r>
    </w:p>
    <w:p w14:paraId="766BEDC6">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80" w:lineRule="exact"/>
        <w:jc w:val="center"/>
        <w:textAlignment w:val="auto"/>
        <w:outlineLvl w:val="1"/>
        <w:rPr>
          <w:rFonts w:hint="eastAsia" w:ascii="方正仿宋简体" w:hAnsi="方正仿宋简体" w:eastAsia="方正仿宋简体" w:cs="方正仿宋简体"/>
          <w:b w:val="0"/>
          <w:bCs w:val="0"/>
          <w:color w:val="auto"/>
          <w:sz w:val="28"/>
          <w:szCs w:val="28"/>
          <w:lang w:val="en-US" w:eastAsia="zh-CN"/>
        </w:rPr>
      </w:pPr>
      <w:bookmarkStart w:id="145" w:name="_Toc30743"/>
      <w:r>
        <w:rPr>
          <w:rFonts w:hint="eastAsia" w:ascii="方正仿宋简体" w:hAnsi="方正仿宋简体" w:eastAsia="方正仿宋简体" w:cs="方正仿宋简体"/>
          <w:b w:val="0"/>
          <w:bCs w:val="0"/>
          <w:color w:val="auto"/>
          <w:sz w:val="28"/>
          <w:szCs w:val="28"/>
          <w:lang w:val="en-US" w:eastAsia="zh-CN"/>
        </w:rPr>
        <w:t>专栏六：社会工作和慈善事业发展工程</w:t>
      </w:r>
      <w:bookmarkEnd w:id="145"/>
    </w:p>
    <w:p w14:paraId="0664580E">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40" w:lineRule="exact"/>
        <w:ind w:firstLine="560" w:firstLineChars="200"/>
        <w:textAlignment w:val="auto"/>
        <w:rPr>
          <w:rFonts w:hint="eastAsia" w:ascii="方正仿宋简体" w:hAnsi="方正仿宋简体" w:eastAsia="方正仿宋简体" w:cs="方正仿宋简体"/>
          <w:color w:val="auto"/>
          <w:sz w:val="28"/>
          <w:szCs w:val="28"/>
          <w:lang w:val="en-US" w:eastAsia="zh-CN"/>
        </w:rPr>
      </w:pPr>
      <w:r>
        <w:rPr>
          <w:rFonts w:hint="eastAsia" w:ascii="Times New Roman" w:hAnsi="Times New Roman" w:eastAsia="方正仿宋简体" w:cs="Times New Roman"/>
          <w:color w:val="auto"/>
          <w:sz w:val="28"/>
          <w:szCs w:val="28"/>
          <w:lang w:val="en-US" w:eastAsia="zh-CN"/>
        </w:rPr>
        <w:t>1.</w:t>
      </w:r>
      <w:r>
        <w:rPr>
          <w:rFonts w:hint="eastAsia" w:ascii="方正仿宋简体" w:hAnsi="方正仿宋简体" w:eastAsia="方正仿宋简体" w:cs="方正仿宋简体"/>
          <w:color w:val="auto"/>
          <w:sz w:val="28"/>
          <w:szCs w:val="28"/>
          <w:lang w:val="en-US" w:eastAsia="zh-CN"/>
        </w:rPr>
        <w:t>社工人才队伍建设工程。重点在全市儿童福利机构、特困人员集中供养中心及市救助站配备持证社会工作专业人才，发挥社会工作专业人才的专业优势，有效满足困难群众和特殊群体的个性化、多元化、专业化服务需求，实现为民服务的精准化、精细化。</w:t>
      </w:r>
    </w:p>
    <w:p w14:paraId="7E7A5DBF">
      <w:pPr>
        <w:keepNext w:val="0"/>
        <w:keepLines w:val="0"/>
        <w:pageBreakBefore w:val="0"/>
        <w:widowControl w:val="0"/>
        <w:numPr>
          <w:ilvl w:val="0"/>
          <w:numId w:val="0"/>
        </w:numPr>
        <w:pBdr>
          <w:top w:val="single" w:color="auto" w:sz="4" w:space="0"/>
          <w:left w:val="single" w:color="auto" w:sz="4" w:space="0"/>
          <w:bottom w:val="single" w:color="auto" w:sz="4" w:space="7"/>
          <w:right w:val="single" w:color="auto" w:sz="4" w:space="0"/>
        </w:pBdr>
        <w:tabs>
          <w:tab w:val="left" w:pos="4340"/>
        </w:tabs>
        <w:kinsoku/>
        <w:wordWrap/>
        <w:overflowPunct/>
        <w:topLinePunct w:val="0"/>
        <w:autoSpaceDE/>
        <w:autoSpaceDN w:val="0"/>
        <w:bidi w:val="0"/>
        <w:adjustRightInd w:val="0"/>
        <w:snapToGrid w:val="0"/>
        <w:spacing w:line="440" w:lineRule="exact"/>
        <w:ind w:firstLine="560" w:firstLineChars="200"/>
        <w:textAlignment w:val="auto"/>
        <w:rPr>
          <w:rFonts w:hint="eastAsia" w:ascii="方正仿宋简体" w:hAnsi="方正仿宋简体" w:eastAsia="方正仿宋简体" w:cs="方正仿宋简体"/>
          <w:color w:val="auto"/>
          <w:sz w:val="32"/>
          <w:szCs w:val="32"/>
          <w:lang w:val="en-US" w:eastAsia="zh-CN"/>
        </w:rPr>
      </w:pPr>
      <w:r>
        <w:rPr>
          <w:rFonts w:hint="default" w:ascii="Times New Roman" w:hAnsi="Times New Roman" w:eastAsia="方正仿宋简体" w:cs="Times New Roman"/>
          <w:color w:val="auto"/>
          <w:sz w:val="28"/>
          <w:szCs w:val="28"/>
          <w:lang w:val="en-US" w:eastAsia="zh-CN"/>
        </w:rPr>
        <w:t>2.</w:t>
      </w:r>
      <w:r>
        <w:rPr>
          <w:rFonts w:hint="eastAsia" w:ascii="方正仿宋简体" w:hAnsi="方正仿宋简体" w:eastAsia="方正仿宋简体" w:cs="方正仿宋简体"/>
          <w:color w:val="auto"/>
          <w:sz w:val="28"/>
          <w:szCs w:val="28"/>
          <w:lang w:val="en-US" w:eastAsia="zh-CN"/>
        </w:rPr>
        <w:t>“慈善那曲”建设工程。为推动那曲市慈善事业有序发展，规范慈善行为，充分利用社会救助信息平台资源，逐步建立那曲慈善信息平台。创新慈善捐赠方式，鼓励支持社会各界设立慈善信托、慈善基金、创办慈善实体，鼓励创建“慈善社区”，发展那曲慈善事业。</w:t>
      </w:r>
    </w:p>
    <w:bookmarkEnd w:id="137"/>
    <w:p w14:paraId="581A8BBB">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146" w:name="_Toc22799"/>
      <w:bookmarkStart w:id="147" w:name="_Toc29193"/>
      <w:bookmarkStart w:id="148" w:name="_Toc23653"/>
      <w:r>
        <w:rPr>
          <w:rFonts w:hint="eastAsia" w:ascii="方正楷体简体" w:hAnsi="方正楷体简体" w:eastAsia="方正楷体简体" w:cs="方正楷体简体"/>
          <w:b w:val="0"/>
          <w:bCs/>
          <w:color w:val="auto"/>
          <w:sz w:val="32"/>
          <w:szCs w:val="32"/>
          <w:lang w:val="en-US" w:eastAsia="zh-CN"/>
        </w:rPr>
        <w:t>第十五节 建立健全民政服务支撑体系</w:t>
      </w:r>
      <w:bookmarkEnd w:id="138"/>
      <w:bookmarkEnd w:id="139"/>
      <w:bookmarkEnd w:id="146"/>
      <w:bookmarkEnd w:id="147"/>
      <w:bookmarkEnd w:id="148"/>
    </w:p>
    <w:p w14:paraId="3B02E892">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坚持以设施建设为基础、法治建设为保障、智慧民政为支撑，推动业务发展与基础保障同频共振，为那曲民政事业高质量发展奠定坚实基础。</w:t>
      </w:r>
    </w:p>
    <w:p w14:paraId="46DF3EB8">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49" w:name="_Toc31461"/>
      <w:bookmarkStart w:id="150" w:name="_Toc31426"/>
      <w:bookmarkStart w:id="151" w:name="_Toc1703"/>
      <w:bookmarkStart w:id="152" w:name="_Toc688"/>
      <w:bookmarkStart w:id="153" w:name="_Toc14883"/>
      <w:r>
        <w:rPr>
          <w:rFonts w:hint="eastAsia" w:ascii="方正楷体简体" w:hAnsi="方正楷体简体" w:eastAsia="方正楷体简体" w:cs="方正楷体简体"/>
          <w:b w:val="0"/>
          <w:bCs w:val="0"/>
          <w:color w:val="auto"/>
          <w:sz w:val="32"/>
          <w:szCs w:val="32"/>
          <w:lang w:val="en-US" w:eastAsia="zh-CN"/>
        </w:rPr>
        <w:t>（51）完善民政基础设施网络</w:t>
      </w:r>
      <w:bookmarkEnd w:id="149"/>
      <w:bookmarkEnd w:id="150"/>
      <w:bookmarkEnd w:id="151"/>
    </w:p>
    <w:p w14:paraId="12FD76C2">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结合国土空间规划、人口分布和地域特点，科学布局市县（区）两级民政服务机构，重点推进养老、未成年人保护、残疾人等设施新建改扩建，推动适老化、无障碍化改造。健全民政服务机构建设标准、管理规范和等级评定制度，引入专业社会力量参与运营管理。加强设施设备日常维护和更新换代，确保良好运行。推动资源向基层和农牧区倾斜，加强县（区）社会救助点、互助性养老服务点等末端设施建设，探索流动服务车、线上服务点等灵活模式，打通民政服务“最后一公里”。</w:t>
      </w:r>
    </w:p>
    <w:p w14:paraId="7EB3205E">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54" w:name="_Toc7050"/>
      <w:bookmarkStart w:id="155" w:name="_Toc8442"/>
      <w:bookmarkStart w:id="156" w:name="_Toc29657"/>
      <w:r>
        <w:rPr>
          <w:rFonts w:hint="eastAsia" w:ascii="方正楷体简体" w:hAnsi="方正楷体简体" w:eastAsia="方正楷体简体" w:cs="方正楷体简体"/>
          <w:b w:val="0"/>
          <w:bCs w:val="0"/>
          <w:color w:val="auto"/>
          <w:sz w:val="32"/>
          <w:szCs w:val="32"/>
          <w:lang w:val="en-US" w:eastAsia="zh-CN"/>
        </w:rPr>
        <w:t>（52）建设智慧民政服务体系</w:t>
      </w:r>
      <w:bookmarkEnd w:id="154"/>
      <w:bookmarkEnd w:id="155"/>
      <w:bookmarkEnd w:id="156"/>
    </w:p>
    <w:p w14:paraId="25CA567E">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依托自治区、市级政务数据共享平台，整合升级现有民政系统，构建集业务办理、数据监测、分析决策于一体的“智慧民政”综合平台，形成“民政服务一张图”。聚焦政务服务、社会服务、监督管理三大领域，推进全市通办、掌上办理，推动社会救助、养老、儿童福利等核心业务全流程线上办理；建立全业务风险预警机制，提升监管智能化水平。加强民政与公安、人社、医保、残联等部门数据互联互通，实现居民经济状况、身份信息等在线核验。围绕主动发现、风险预警、趋势预测拓展大数据应用。探索“人工智能+养老”“人工智能+社会救助”等新模式，推广智能穿戴设备、紧急呼叫系统在特殊困难群体关爱中的应用，提升服务精准化和应急响应能力。</w:t>
      </w:r>
    </w:p>
    <w:p w14:paraId="09FBF0B3">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57" w:name="_Toc31201"/>
      <w:bookmarkStart w:id="158" w:name="_Toc13294"/>
      <w:bookmarkStart w:id="159" w:name="_Toc9809"/>
      <w:r>
        <w:rPr>
          <w:rFonts w:hint="eastAsia" w:ascii="方正楷体简体" w:hAnsi="方正楷体简体" w:eastAsia="方正楷体简体" w:cs="方正楷体简体"/>
          <w:b w:val="0"/>
          <w:bCs w:val="0"/>
          <w:color w:val="auto"/>
          <w:sz w:val="32"/>
          <w:szCs w:val="32"/>
          <w:lang w:val="en-US" w:eastAsia="zh-CN"/>
        </w:rPr>
        <w:t>（53）构建法治民政</w:t>
      </w:r>
      <w:bookmarkEnd w:id="152"/>
      <w:bookmarkEnd w:id="153"/>
      <w:r>
        <w:rPr>
          <w:rFonts w:hint="eastAsia" w:ascii="方正楷体简体" w:hAnsi="方正楷体简体" w:eastAsia="方正楷体简体" w:cs="方正楷体简体"/>
          <w:b w:val="0"/>
          <w:bCs w:val="0"/>
          <w:color w:val="auto"/>
          <w:sz w:val="32"/>
          <w:szCs w:val="32"/>
          <w:lang w:val="en-US" w:eastAsia="zh-CN"/>
        </w:rPr>
        <w:t>发展新格局</w:t>
      </w:r>
      <w:bookmarkEnd w:id="157"/>
      <w:bookmarkEnd w:id="158"/>
      <w:bookmarkEnd w:id="159"/>
    </w:p>
    <w:p w14:paraId="7CBAC75B">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实施民政标准化发展战略，推进养老、社会福利、社会事务等领域标准化，建立强制性标准全面覆盖、推荐性标准广泛采用的工作格局。健全标准实施监督与评估机制，开展实施效果评估反馈。全面落实行政执法“三项制度”，规范社会组织、殡葬、养老、儿童福利等领域执法行为，细化执法流程和自由裁量权基准。深化政务公开，重点加大社会救助、福利补贴、公益金使用、项目审批等信息公开力度，保障群众知情权、参与权和监督权。完善行政处罚裁量基准，结合案卷评查强化监督指导。推进业务监管与行政执法衔接，实现监管对象、执法检查、行政处罚等信息实时共享。加强基层执法机构建设，合理配备人员装备。</w:t>
      </w:r>
    </w:p>
    <w:p w14:paraId="7F6E759F">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60" w:name="_Toc26486"/>
      <w:bookmarkStart w:id="161" w:name="_Toc12232"/>
      <w:bookmarkStart w:id="162" w:name="_Toc28813"/>
      <w:r>
        <w:rPr>
          <w:rFonts w:hint="eastAsia" w:ascii="方正楷体简体" w:hAnsi="方正楷体简体" w:eastAsia="方正楷体简体" w:cs="方正楷体简体"/>
          <w:b w:val="0"/>
          <w:bCs w:val="0"/>
          <w:color w:val="auto"/>
          <w:sz w:val="32"/>
          <w:szCs w:val="32"/>
          <w:lang w:val="en-US" w:eastAsia="zh-CN"/>
        </w:rPr>
        <w:t>（54）建立新型民政监管体系</w:t>
      </w:r>
      <w:bookmarkEnd w:id="160"/>
      <w:bookmarkEnd w:id="161"/>
      <w:bookmarkEnd w:id="162"/>
    </w:p>
    <w:p w14:paraId="7474D0E6">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制定并公开监管事项、权力、责任清单，完善分级分类监管机制，依据监管对象信用等级、风险水平实施差异化监管。强化部门协同监管，畅通社会监督渠道，推进行业自律。在社会组织、养老机构等领域推行“双随机、一公开”监管。利用人工智能、大数据、视频监控等技术，对养老、儿童福利、殡葬等机构进行非现场实时监测预警。强化福彩公益金、财政专项资金、重大项目等资金监管。</w:t>
      </w:r>
    </w:p>
    <w:p w14:paraId="68A0E090">
      <w:pPr>
        <w:keepNext w:val="0"/>
        <w:keepLines w:val="0"/>
        <w:pageBreakBefore w:val="0"/>
        <w:widowControl w:val="0"/>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楷体简体" w:hAnsi="方正楷体简体" w:eastAsia="方正楷体简体" w:cs="方正楷体简体"/>
          <w:b w:val="0"/>
          <w:bCs w:val="0"/>
          <w:color w:val="auto"/>
          <w:sz w:val="32"/>
          <w:szCs w:val="32"/>
          <w:lang w:val="en-US" w:eastAsia="zh-CN"/>
        </w:rPr>
      </w:pPr>
      <w:bookmarkStart w:id="163" w:name="_Toc30626"/>
      <w:bookmarkStart w:id="164" w:name="_Toc5489"/>
      <w:bookmarkStart w:id="165" w:name="_Toc9247"/>
      <w:r>
        <w:rPr>
          <w:rFonts w:hint="eastAsia" w:ascii="方正楷体简体" w:hAnsi="方正楷体简体" w:eastAsia="方正楷体简体" w:cs="方正楷体简体"/>
          <w:b w:val="0"/>
          <w:bCs w:val="0"/>
          <w:color w:val="auto"/>
          <w:sz w:val="32"/>
          <w:szCs w:val="32"/>
          <w:lang w:val="en-US" w:eastAsia="zh-CN"/>
        </w:rPr>
        <w:t>（55）汇聚民政发展社会力量</w:t>
      </w:r>
      <w:bookmarkEnd w:id="163"/>
      <w:bookmarkEnd w:id="164"/>
      <w:bookmarkEnd w:id="165"/>
    </w:p>
    <w:p w14:paraId="0A30B4FA">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争取浙江、辽宁和五大央企在资金、项目、技术、人才等方面支持，引入先进理念和管理模式。加强与区内其他地市交流合作，激活对口援建机制，探索新型援藏模式。完善社会组织培育扶持政策，健全政府购买服务机制，引导社会组织参与民生服务和社会治理。弘扬慈善文化，规范慈善活动。健全志愿服务记录、激励和保障制度。</w:t>
      </w:r>
      <w:r>
        <w:rPr>
          <w:rFonts w:hint="eastAsia" w:ascii="方正仿宋简体" w:hAnsi="方正仿宋简体" w:eastAsia="方正仿宋简体" w:cs="方正仿宋简体"/>
          <w:color w:val="auto"/>
          <w:sz w:val="32"/>
          <w:szCs w:val="32"/>
          <w:lang w:val="en-US" w:eastAsia="zh-CN"/>
        </w:rPr>
        <w:t>优化营商环境，引导各类市场主体依法参与养老服务、康复辅具等产业发展，形成政府、市场、社会协同推进民政事业发展的合力。</w:t>
      </w:r>
    </w:p>
    <w:p w14:paraId="790FA419">
      <w:pPr>
        <w:keepNext w:val="0"/>
        <w:keepLines w:val="0"/>
        <w:pageBreakBefore w:val="0"/>
        <w:widowControl w:val="0"/>
        <w:numPr>
          <w:ilvl w:val="0"/>
          <w:numId w:val="0"/>
        </w:numPr>
        <w:pBdr>
          <w:bottom w:val="none" w:color="000000" w:sz="0" w:space="7"/>
        </w:pBdr>
        <w:tabs>
          <w:tab w:val="left" w:pos="4340"/>
        </w:tabs>
        <w:kinsoku/>
        <w:wordWrap/>
        <w:overflowPunct/>
        <w:topLinePunct w:val="0"/>
        <w:autoSpaceDE/>
        <w:autoSpaceDN w:val="0"/>
        <w:bidi w:val="0"/>
        <w:adjustRightInd w:val="0"/>
        <w:snapToGrid w:val="0"/>
        <w:spacing w:line="576" w:lineRule="exact"/>
        <w:ind w:firstLine="640" w:firstLineChars="200"/>
        <w:textAlignment w:val="auto"/>
        <w:rPr>
          <w:rFonts w:hint="eastAsia" w:ascii="方正黑体简体" w:hAnsi="方正黑体简体" w:eastAsia="方正黑体简体" w:cs="方正黑体简体"/>
          <w:b w:val="0"/>
          <w:bCs w:val="0"/>
          <w:color w:val="auto"/>
          <w:sz w:val="32"/>
          <w:szCs w:val="32"/>
          <w:lang w:val="en-US"/>
        </w:rPr>
      </w:pPr>
      <w:r>
        <w:rPr>
          <w:rFonts w:hint="eastAsia" w:ascii="方正黑体简体" w:hAnsi="方正黑体简体" w:eastAsia="方正黑体简体" w:cs="方正黑体简体"/>
          <w:b w:val="0"/>
          <w:bCs w:val="0"/>
          <w:color w:val="auto"/>
          <w:sz w:val="32"/>
          <w:szCs w:val="32"/>
          <w:lang w:val="en-US"/>
        </w:rPr>
        <w:br w:type="page"/>
      </w:r>
    </w:p>
    <w:p w14:paraId="7D210954">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0"/>
        <w:rPr>
          <w:rFonts w:hint="eastAsia" w:ascii="方正黑体简体" w:hAnsi="方正黑体简体" w:eastAsia="方正黑体简体" w:cs="方正黑体简体"/>
          <w:b w:val="0"/>
          <w:bCs w:val="0"/>
          <w:color w:val="auto"/>
          <w:sz w:val="32"/>
          <w:szCs w:val="32"/>
          <w:lang w:val="en-US" w:eastAsia="zh-CN"/>
        </w:rPr>
      </w:pPr>
      <w:bookmarkStart w:id="166" w:name="_Toc94276140"/>
      <w:bookmarkStart w:id="167" w:name="_Toc2310"/>
      <w:bookmarkStart w:id="168" w:name="_Toc29707"/>
      <w:bookmarkStart w:id="169" w:name="_Toc10139"/>
      <w:bookmarkStart w:id="170" w:name="_Toc10865"/>
      <w:bookmarkStart w:id="171" w:name="_Toc26864"/>
      <w:bookmarkStart w:id="172" w:name="_Toc7431"/>
      <w:bookmarkStart w:id="173" w:name="_Toc2718"/>
      <w:bookmarkStart w:id="174" w:name="_Toc7736"/>
      <w:r>
        <w:rPr>
          <w:rFonts w:hint="eastAsia" w:ascii="方正黑体简体" w:hAnsi="方正黑体简体" w:eastAsia="方正黑体简体" w:cs="方正黑体简体"/>
          <w:b w:val="0"/>
          <w:bCs w:val="0"/>
          <w:color w:val="auto"/>
          <w:sz w:val="32"/>
          <w:szCs w:val="32"/>
          <w:lang w:val="en-US"/>
        </w:rPr>
        <w:t>第</w:t>
      </w:r>
      <w:r>
        <w:rPr>
          <w:rFonts w:hint="eastAsia" w:ascii="方正黑体简体" w:hAnsi="方正黑体简体" w:eastAsia="方正黑体简体" w:cs="方正黑体简体"/>
          <w:b w:val="0"/>
          <w:bCs w:val="0"/>
          <w:color w:val="auto"/>
          <w:sz w:val="32"/>
          <w:szCs w:val="32"/>
          <w:lang w:val="en-US" w:eastAsia="zh-CN"/>
        </w:rPr>
        <w:t>四</w:t>
      </w:r>
      <w:r>
        <w:rPr>
          <w:rFonts w:hint="eastAsia" w:ascii="方正黑体简体" w:hAnsi="方正黑体简体" w:eastAsia="方正黑体简体" w:cs="方正黑体简体"/>
          <w:b w:val="0"/>
          <w:bCs w:val="0"/>
          <w:color w:val="auto"/>
          <w:sz w:val="32"/>
          <w:szCs w:val="32"/>
          <w:lang w:val="en-US"/>
        </w:rPr>
        <w:t>章 保障</w:t>
      </w:r>
      <w:bookmarkEnd w:id="166"/>
      <w:r>
        <w:rPr>
          <w:rFonts w:hint="eastAsia" w:ascii="方正黑体简体" w:hAnsi="方正黑体简体" w:eastAsia="方正黑体简体" w:cs="方正黑体简体"/>
          <w:b w:val="0"/>
          <w:bCs w:val="0"/>
          <w:color w:val="auto"/>
          <w:sz w:val="32"/>
          <w:szCs w:val="32"/>
          <w:lang w:val="en-US" w:eastAsia="zh-CN"/>
        </w:rPr>
        <w:t>措施</w:t>
      </w:r>
      <w:bookmarkEnd w:id="167"/>
      <w:bookmarkEnd w:id="168"/>
      <w:bookmarkEnd w:id="169"/>
      <w:bookmarkEnd w:id="170"/>
      <w:bookmarkEnd w:id="171"/>
      <w:bookmarkEnd w:id="172"/>
      <w:bookmarkEnd w:id="173"/>
      <w:bookmarkEnd w:id="174"/>
    </w:p>
    <w:p w14:paraId="408CC217">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175" w:name="_Toc94276141"/>
      <w:bookmarkStart w:id="176" w:name="_Toc14092"/>
      <w:bookmarkStart w:id="177" w:name="_Toc30956"/>
      <w:bookmarkStart w:id="178" w:name="_Toc21438"/>
      <w:bookmarkStart w:id="179" w:name="_Toc6800"/>
      <w:bookmarkStart w:id="180" w:name="_Toc30655"/>
      <w:r>
        <w:rPr>
          <w:rFonts w:hint="eastAsia" w:ascii="方正楷体简体" w:hAnsi="方正楷体简体" w:eastAsia="方正楷体简体" w:cs="方正楷体简体"/>
          <w:b w:val="0"/>
          <w:bCs/>
          <w:color w:val="auto"/>
          <w:sz w:val="32"/>
          <w:szCs w:val="32"/>
          <w:lang w:val="en-US" w:eastAsia="zh-CN"/>
        </w:rPr>
        <w:t xml:space="preserve">第十六节 </w:t>
      </w:r>
      <w:bookmarkEnd w:id="175"/>
      <w:r>
        <w:rPr>
          <w:rFonts w:hint="eastAsia" w:ascii="方正楷体简体" w:hAnsi="方正楷体简体" w:eastAsia="方正楷体简体" w:cs="方正楷体简体"/>
          <w:b w:val="0"/>
          <w:bCs/>
          <w:color w:val="auto"/>
          <w:sz w:val="32"/>
          <w:szCs w:val="32"/>
          <w:lang w:val="en-US" w:eastAsia="zh-CN"/>
        </w:rPr>
        <w:t>加强党的全面领导</w:t>
      </w:r>
      <w:bookmarkEnd w:id="176"/>
      <w:bookmarkEnd w:id="177"/>
      <w:bookmarkEnd w:id="178"/>
      <w:bookmarkEnd w:id="179"/>
      <w:bookmarkEnd w:id="180"/>
    </w:p>
    <w:p w14:paraId="6E0D9371">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（56）加强党的全面领导</w:t>
      </w:r>
    </w:p>
    <w:p w14:paraId="2EA78BEA">
      <w:pPr>
        <w:keepNext w:val="0"/>
        <w:keepLines w:val="0"/>
        <w:pageBreakBefore w:val="0"/>
        <w:widowControl w:val="0"/>
        <w:kinsoku/>
        <w:wordWrap/>
        <w:overflowPunct/>
        <w:topLinePunct w:val="0"/>
        <w:autoSpaceDE/>
        <w:autoSpaceDN/>
        <w:bidi w:val="0"/>
        <w:adjustRightInd/>
        <w:snapToGrid/>
        <w:spacing w:line="576" w:lineRule="exact"/>
        <w:ind w:right="0" w:firstLine="641"/>
        <w:textAlignment w:val="auto"/>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lang w:val="en-US" w:eastAsia="zh-CN"/>
        </w:rPr>
        <w:t>坚持以人民为中心，加强党对民政工作的全面领导，完善政策制度、服务保障、监督管理、社会参与体系，提升社会救助、社会福利、社会事务、社会治理水平。加强领导班子建设，提高政治判断力、政治领悟力、政治执行力，推动党建和业务深度融合。贯彻全面从严治党要求，压实党风廉政建设责任，加大监督检查力度，推动作风转变，确保规划任务落实。</w:t>
      </w:r>
    </w:p>
    <w:p w14:paraId="377FE384">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181" w:name="_Toc18335"/>
      <w:bookmarkStart w:id="182" w:name="_Toc3923"/>
      <w:bookmarkStart w:id="183" w:name="_Toc9425"/>
      <w:bookmarkStart w:id="184" w:name="_Toc31905"/>
      <w:bookmarkStart w:id="185" w:name="_Toc28003"/>
      <w:r>
        <w:rPr>
          <w:rFonts w:hint="eastAsia" w:ascii="方正楷体简体" w:hAnsi="方正楷体简体" w:eastAsia="方正楷体简体" w:cs="方正楷体简体"/>
          <w:b w:val="0"/>
          <w:bCs/>
          <w:color w:val="auto"/>
          <w:sz w:val="32"/>
          <w:szCs w:val="32"/>
          <w:lang w:val="en-US" w:eastAsia="zh-CN"/>
        </w:rPr>
        <w:t>第十七节 强化规划实施要素保障</w:t>
      </w:r>
      <w:bookmarkEnd w:id="181"/>
      <w:bookmarkEnd w:id="182"/>
      <w:bookmarkEnd w:id="183"/>
      <w:bookmarkEnd w:id="184"/>
      <w:bookmarkEnd w:id="185"/>
    </w:p>
    <w:p w14:paraId="5DBB17F2">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186" w:name="_Toc5439"/>
      <w:bookmarkStart w:id="187" w:name="_Toc1034"/>
      <w:bookmarkStart w:id="188" w:name="_Toc20577"/>
      <w:r>
        <w:rPr>
          <w:rFonts w:hint="eastAsia" w:ascii="方正楷体简体" w:hAnsi="方正楷体简体" w:eastAsia="方正楷体简体" w:cs="方正楷体简体"/>
          <w:b w:val="0"/>
          <w:bCs w:val="0"/>
          <w:color w:val="auto"/>
          <w:sz w:val="32"/>
          <w:szCs w:val="32"/>
          <w:lang w:val="en-US" w:eastAsia="zh-CN"/>
        </w:rPr>
        <w:t>（57）加强资金保障</w:t>
      </w:r>
      <w:bookmarkEnd w:id="186"/>
      <w:bookmarkEnd w:id="187"/>
      <w:bookmarkEnd w:id="188"/>
    </w:p>
    <w:p w14:paraId="0EAF356F">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rPr>
        <w:t>积极争取上级财政和福彩资金支持，加大兜底性、基础性民政工作投入，建立与经济社会发展水平相适应的公共财政投入机制。优化预算安排，优先保障重大项目和重点任务，设立专项资金或基金。拓宽融资渠道，引导国有资本进入养老行业，争取地方政府专项债券支持，引导开发性、政策性金融机构提供中长期优惠信贷。</w:t>
      </w:r>
    </w:p>
    <w:p w14:paraId="6B70124D">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189" w:name="_Toc25976"/>
      <w:bookmarkStart w:id="190" w:name="_Toc2861"/>
      <w:bookmarkStart w:id="191" w:name="_Toc31763"/>
      <w:r>
        <w:rPr>
          <w:rFonts w:hint="eastAsia" w:ascii="方正楷体简体" w:hAnsi="方正楷体简体" w:eastAsia="方正楷体简体" w:cs="方正楷体简体"/>
          <w:b w:val="0"/>
          <w:bCs w:val="0"/>
          <w:color w:val="auto"/>
          <w:sz w:val="32"/>
          <w:szCs w:val="32"/>
          <w:lang w:val="en-US" w:eastAsia="zh-CN"/>
        </w:rPr>
        <w:t>（58）强化人才队伍建设</w:t>
      </w:r>
      <w:bookmarkEnd w:id="189"/>
      <w:bookmarkEnd w:id="190"/>
      <w:bookmarkEnd w:id="191"/>
    </w:p>
    <w:p w14:paraId="49824DC5">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大民政技能人才培养，重点培养医疗康复、社会工作等专技人才和养老服务、儿童护理、殡葬服务等技能人才，形成素质优良、结构合理的民政人才队伍。建立与规划绩效挂钩的薪酬和人才评价机制，完善继续教育和技能培训体系，健全表彰奖励和容错纠错机制，调动人才队伍干事创业积极性。</w:t>
      </w:r>
    </w:p>
    <w:p w14:paraId="0852DAA1">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192" w:name="_Toc14785"/>
      <w:bookmarkStart w:id="193" w:name="_Toc14982"/>
      <w:bookmarkStart w:id="194" w:name="_Toc31169"/>
      <w:r>
        <w:rPr>
          <w:rFonts w:hint="eastAsia" w:ascii="方正楷体简体" w:hAnsi="方正楷体简体" w:eastAsia="方正楷体简体" w:cs="方正楷体简体"/>
          <w:b w:val="0"/>
          <w:bCs w:val="0"/>
          <w:color w:val="auto"/>
          <w:sz w:val="32"/>
          <w:szCs w:val="32"/>
          <w:lang w:val="en-US" w:eastAsia="zh-CN"/>
        </w:rPr>
        <w:t>（59）加强土地要素保障</w:t>
      </w:r>
      <w:bookmarkEnd w:id="192"/>
      <w:bookmarkEnd w:id="193"/>
      <w:bookmarkEnd w:id="194"/>
    </w:p>
    <w:p w14:paraId="0EB10666">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kern w:val="2"/>
          <w:sz w:val="32"/>
          <w:szCs w:val="32"/>
          <w:lang w:val="en-US" w:eastAsia="zh-CN" w:bidi="ar-SA"/>
        </w:rPr>
      </w:pPr>
      <w:r>
        <w:rPr>
          <w:rFonts w:hint="eastAsia" w:ascii="方正仿宋简体" w:hAnsi="方正仿宋简体" w:eastAsia="方正仿宋简体" w:cs="方正仿宋简体"/>
          <w:color w:val="auto"/>
          <w:sz w:val="32"/>
          <w:szCs w:val="32"/>
          <w:lang w:val="en-US" w:eastAsia="zh-CN"/>
        </w:rPr>
        <w:t>将民政设施用地纳入国土空间规划“一张图”，推动与医疗卫生、教育、交通等规划衔接，对重大民政项目土地指标倾斜、优先保障。</w:t>
      </w:r>
    </w:p>
    <w:p w14:paraId="032F73A0">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（60）加强数据要素保障</w:t>
      </w:r>
    </w:p>
    <w:p w14:paraId="0BFF0B69">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推动大数据、人工智能与民政工作深度融合，在社会救助、养老、儿童福利、残疾人服务等领域加快数字化转型，深化“高效办成一件事”改革，推进事项线上办、掌上办。</w:t>
      </w:r>
    </w:p>
    <w:p w14:paraId="59A314B9">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default" w:ascii="方正楷体简体" w:hAnsi="方正楷体简体" w:eastAsia="方正楷体简体" w:cs="方正楷体简体"/>
          <w:b w:val="0"/>
          <w:bCs/>
          <w:color w:val="auto"/>
          <w:sz w:val="32"/>
          <w:szCs w:val="32"/>
          <w:lang w:val="en-US" w:eastAsia="zh-CN"/>
        </w:rPr>
      </w:pPr>
      <w:bookmarkStart w:id="195" w:name="_Toc13958"/>
      <w:bookmarkStart w:id="196" w:name="_Toc5237"/>
      <w:bookmarkStart w:id="197" w:name="_Toc27957"/>
      <w:bookmarkStart w:id="198" w:name="_Toc19988"/>
      <w:bookmarkStart w:id="199" w:name="_Toc979"/>
      <w:r>
        <w:rPr>
          <w:rFonts w:hint="eastAsia" w:ascii="方正楷体简体" w:hAnsi="方正楷体简体" w:eastAsia="方正楷体简体" w:cs="方正楷体简体"/>
          <w:b w:val="0"/>
          <w:bCs/>
          <w:color w:val="auto"/>
          <w:sz w:val="32"/>
          <w:szCs w:val="32"/>
          <w:lang w:val="en-US" w:eastAsia="zh-CN"/>
        </w:rPr>
        <w:t>第十八节 开展规划实施监测</w:t>
      </w:r>
      <w:bookmarkEnd w:id="195"/>
      <w:bookmarkEnd w:id="196"/>
      <w:bookmarkEnd w:id="197"/>
      <w:r>
        <w:rPr>
          <w:rFonts w:hint="eastAsia" w:ascii="方正楷体简体" w:hAnsi="方正楷体简体" w:eastAsia="方正楷体简体" w:cs="方正楷体简体"/>
          <w:b w:val="0"/>
          <w:bCs/>
          <w:color w:val="auto"/>
          <w:sz w:val="32"/>
          <w:szCs w:val="32"/>
          <w:lang w:val="en-US" w:eastAsia="zh-CN"/>
        </w:rPr>
        <w:t>监督</w:t>
      </w:r>
      <w:bookmarkEnd w:id="198"/>
      <w:bookmarkEnd w:id="199"/>
    </w:p>
    <w:p w14:paraId="3C0B0D64">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bookmarkStart w:id="200" w:name="_Toc30312"/>
      <w:bookmarkStart w:id="201" w:name="_Toc27649"/>
      <w:bookmarkStart w:id="202" w:name="_Toc1120"/>
      <w:r>
        <w:rPr>
          <w:rFonts w:hint="eastAsia" w:ascii="方正楷体简体" w:hAnsi="方正楷体简体" w:eastAsia="方正楷体简体" w:cs="方正楷体简体"/>
          <w:b w:val="0"/>
          <w:bCs w:val="0"/>
          <w:color w:val="auto"/>
          <w:sz w:val="32"/>
          <w:szCs w:val="32"/>
          <w:lang w:val="en-US" w:eastAsia="zh-CN"/>
        </w:rPr>
        <w:t>（61）加强规划解读和宣传</w:t>
      </w:r>
      <w:bookmarkEnd w:id="200"/>
      <w:bookmarkEnd w:id="201"/>
      <w:bookmarkEnd w:id="202"/>
    </w:p>
    <w:p w14:paraId="45A2E2BA">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default" w:ascii="方正仿宋简体" w:hAnsi="方正仿宋简体" w:eastAsia="方正仿宋简体" w:cs="方正仿宋简体"/>
          <w:color w:val="auto"/>
          <w:sz w:val="32"/>
          <w:szCs w:val="32"/>
          <w:lang w:val="en-US" w:eastAsia="zh-CN"/>
        </w:rPr>
      </w:pPr>
      <w:bookmarkStart w:id="203" w:name="_Toc25891"/>
      <w:bookmarkStart w:id="204" w:name="_Toc8957"/>
      <w:bookmarkStart w:id="205" w:name="_Toc1475"/>
      <w:r>
        <w:rPr>
          <w:rFonts w:hint="default" w:ascii="方正仿宋简体" w:hAnsi="方正仿宋简体" w:eastAsia="方正仿宋简体" w:cs="方正仿宋简体"/>
          <w:color w:val="auto"/>
          <w:sz w:val="32"/>
          <w:szCs w:val="32"/>
          <w:lang w:val="en-US" w:eastAsia="zh-CN"/>
        </w:rPr>
        <w:t>拓宽传播渠道，利用多种媒介开展精准化宣传，通俗易懂地解读规划背景、目标、任务和惠民政策，提高全社会对规划的认知度和认同感。</w:t>
      </w:r>
    </w:p>
    <w:p w14:paraId="69CE8982">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（62）开展规划实施监测评估</w:t>
      </w:r>
      <w:bookmarkEnd w:id="203"/>
      <w:bookmarkEnd w:id="204"/>
      <w:bookmarkEnd w:id="205"/>
    </w:p>
    <w:p w14:paraId="0AC175B4">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default" w:ascii="方正仿宋简体" w:hAnsi="方正仿宋简体" w:eastAsia="方正仿宋简体" w:cs="方正仿宋简体"/>
          <w:color w:val="auto"/>
          <w:sz w:val="32"/>
          <w:szCs w:val="32"/>
          <w:lang w:val="en-US" w:eastAsia="zh-CN"/>
        </w:rPr>
      </w:pPr>
      <w:bookmarkStart w:id="206" w:name="_Toc17095"/>
      <w:bookmarkStart w:id="207" w:name="_Toc19779"/>
      <w:bookmarkStart w:id="208" w:name="_Toc6683"/>
      <w:bookmarkStart w:id="209" w:name="_Toc94276144"/>
      <w:r>
        <w:rPr>
          <w:rFonts w:hint="default" w:ascii="方正仿宋简体" w:hAnsi="方正仿宋简体" w:eastAsia="方正仿宋简体" w:cs="方正仿宋简体"/>
          <w:color w:val="auto"/>
          <w:sz w:val="32"/>
          <w:szCs w:val="32"/>
          <w:lang w:val="en-US" w:eastAsia="zh-CN"/>
        </w:rPr>
        <w:t>开展年度监测、中期评估和终期评估，跟踪关键指标和重大项目推进节点。评估结果作为调整年度计划和资源配置的依据，依法依规启动规划调整。</w:t>
      </w:r>
    </w:p>
    <w:p w14:paraId="4D93AEE9">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default"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（63）</w:t>
      </w:r>
      <w:r>
        <w:rPr>
          <w:rFonts w:hint="default" w:ascii="方正楷体简体" w:hAnsi="方正楷体简体" w:eastAsia="方正楷体简体" w:cs="方正楷体简体"/>
          <w:b w:val="0"/>
          <w:bCs w:val="0"/>
          <w:color w:val="auto"/>
          <w:sz w:val="32"/>
          <w:szCs w:val="32"/>
          <w:lang w:val="en-US" w:eastAsia="zh-CN"/>
        </w:rPr>
        <w:t>强化</w:t>
      </w:r>
      <w:r>
        <w:rPr>
          <w:rFonts w:hint="eastAsia" w:ascii="方正楷体简体" w:hAnsi="方正楷体简体" w:eastAsia="方正楷体简体" w:cs="方正楷体简体"/>
          <w:b w:val="0"/>
          <w:bCs w:val="0"/>
          <w:color w:val="auto"/>
          <w:sz w:val="32"/>
          <w:szCs w:val="32"/>
          <w:lang w:val="en-US" w:eastAsia="zh-CN"/>
        </w:rPr>
        <w:t>规划实施</w:t>
      </w:r>
      <w:r>
        <w:rPr>
          <w:rFonts w:hint="default" w:ascii="方正楷体简体" w:hAnsi="方正楷体简体" w:eastAsia="方正楷体简体" w:cs="方正楷体简体"/>
          <w:b w:val="0"/>
          <w:bCs w:val="0"/>
          <w:color w:val="auto"/>
          <w:sz w:val="32"/>
          <w:szCs w:val="32"/>
          <w:lang w:val="en-US" w:eastAsia="zh-CN"/>
        </w:rPr>
        <w:t>监督</w:t>
      </w:r>
    </w:p>
    <w:p w14:paraId="148EC49F">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加强人大监督，定期听取和审议政府关于规划实施情况的报告。加强审计监督，对重大项目资金使用情况进行审计。加强社会监督，定期公开发布规划实施进展，接受媒体和公众监督。</w:t>
      </w:r>
    </w:p>
    <w:p w14:paraId="0E717A57">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210" w:name="_Toc20921"/>
      <w:bookmarkStart w:id="211" w:name="_Toc15642"/>
      <w:r>
        <w:rPr>
          <w:rFonts w:hint="eastAsia" w:ascii="方正楷体简体" w:hAnsi="方正楷体简体" w:eastAsia="方正楷体简体" w:cs="方正楷体简体"/>
          <w:b w:val="0"/>
          <w:bCs/>
          <w:color w:val="auto"/>
          <w:sz w:val="32"/>
          <w:szCs w:val="32"/>
          <w:lang w:val="en-US" w:eastAsia="zh-CN"/>
        </w:rPr>
        <w:t>第十九节 提升民政基层服务保障能力</w:t>
      </w:r>
      <w:bookmarkEnd w:id="206"/>
      <w:bookmarkEnd w:id="207"/>
      <w:bookmarkEnd w:id="208"/>
      <w:bookmarkEnd w:id="209"/>
      <w:bookmarkEnd w:id="210"/>
      <w:bookmarkEnd w:id="211"/>
    </w:p>
    <w:p w14:paraId="1F9DB092">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（64）健全基层服务网络</w:t>
      </w:r>
    </w:p>
    <w:p w14:paraId="1AEB0028">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民政服务事项纳入乡镇（街道）政务服务中心和村（社区）党群服务中心集中办理，推广“综合窗口”模式。城市社区建民政服务站，农村依托村党群服务中心设服务点，配备专兼职协理员。</w:t>
      </w:r>
    </w:p>
    <w:p w14:paraId="2C373AFA">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（65）建强基层工作队伍</w:t>
      </w:r>
    </w:p>
    <w:p w14:paraId="5D9978E7">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default" w:ascii="方正仿宋简体" w:hAnsi="方正仿宋简体" w:eastAsia="方正仿宋简体" w:cs="方正仿宋简体"/>
          <w:color w:val="auto"/>
          <w:sz w:val="32"/>
          <w:szCs w:val="32"/>
          <w:lang w:val="en-US" w:eastAsia="zh-CN"/>
        </w:rPr>
        <w:t>通过政府购买服务、公益性岗位、引入社工机构等充实乡镇（街道）民政力量。开展政策法规、业务技能、应急处置培训，加强村（社区）“两委”成员和协理员培训，健全激励保障机制。</w:t>
      </w:r>
    </w:p>
    <w:p w14:paraId="18CB4E24">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（66）加强基层能力建设</w:t>
      </w:r>
    </w:p>
    <w:p w14:paraId="66C04208">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default" w:ascii="方正仿宋简体" w:hAnsi="方正仿宋简体" w:eastAsia="方正仿宋简体" w:cs="方正仿宋简体"/>
          <w:color w:val="auto"/>
          <w:sz w:val="32"/>
          <w:szCs w:val="32"/>
          <w:lang w:val="en-US" w:eastAsia="zh-CN"/>
        </w:rPr>
      </w:pPr>
      <w:bookmarkStart w:id="212" w:name="_Toc24918"/>
      <w:bookmarkStart w:id="213" w:name="_Toc27981"/>
      <w:bookmarkStart w:id="214" w:name="_Toc10151"/>
      <w:bookmarkStart w:id="215" w:name="_Toc94276145"/>
      <w:r>
        <w:rPr>
          <w:rFonts w:hint="default" w:ascii="方正仿宋简体" w:hAnsi="方正仿宋简体" w:eastAsia="方正仿宋简体" w:cs="方正仿宋简体"/>
          <w:color w:val="auto"/>
          <w:sz w:val="32"/>
          <w:szCs w:val="32"/>
          <w:lang w:val="en-US" w:eastAsia="zh-CN"/>
        </w:rPr>
        <w:t>多渠道解决基层工作经费，引导社会组织、慈善机构链接社会资金支持基层民政服务。健全岗位职责、办事程序、行为规范等制度，补齐基层公共服务设施短板，稳步推进民政事业市场化、社会化改革。</w:t>
      </w:r>
    </w:p>
    <w:p w14:paraId="23A9A4EC">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216" w:name="_Toc31465"/>
      <w:bookmarkStart w:id="217" w:name="_Toc20943"/>
      <w:r>
        <w:rPr>
          <w:rFonts w:hint="eastAsia" w:ascii="方正楷体简体" w:hAnsi="方正楷体简体" w:eastAsia="方正楷体简体" w:cs="方正楷体简体"/>
          <w:b w:val="0"/>
          <w:bCs/>
          <w:color w:val="auto"/>
          <w:sz w:val="32"/>
          <w:szCs w:val="32"/>
          <w:lang w:val="en-US" w:eastAsia="zh-CN"/>
        </w:rPr>
        <w:t>第二十节 强化风险防范</w:t>
      </w:r>
      <w:bookmarkEnd w:id="212"/>
      <w:bookmarkEnd w:id="213"/>
      <w:bookmarkEnd w:id="214"/>
      <w:bookmarkEnd w:id="216"/>
      <w:bookmarkEnd w:id="217"/>
    </w:p>
    <w:bookmarkEnd w:id="215"/>
    <w:p w14:paraId="46AB7825">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default"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（67）强化风险防范</w:t>
      </w:r>
    </w:p>
    <w:p w14:paraId="2A5DB407">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深入学习贯彻习近平总书记关于安全生产的重要论述，在政治与意识形态、公共卫生、自然灾害、社会稳定、机构运营、重大项目和廉政等方面加强风险防控，健全民政大安全格局。严格落实安全生产责任制，做到党政同责、“一岗双责”。实施安全生产专项整治，完善隐患排查治理和应急管理体制，提升应急处突能力。</w:t>
      </w:r>
      <w:r>
        <w:rPr>
          <w:rFonts w:hint="default" w:ascii="方正仿宋简体" w:hAnsi="方正仿宋简体" w:eastAsia="方正仿宋简体" w:cs="方正仿宋简体"/>
          <w:color w:val="auto"/>
          <w:sz w:val="32"/>
          <w:szCs w:val="32"/>
          <w:lang w:val="en-US" w:eastAsia="zh-CN"/>
        </w:rPr>
        <w:t>统筹推进养老、儿童、残疾人、救助、殡葬等民政服务机构的安全生产、消防、食品、公共卫生、应急管理等工作，严防安全事故发生。健全应急处置体系，持续做好民政服务机构和城乡社区防控工作。</w:t>
      </w:r>
    </w:p>
    <w:p w14:paraId="3D8CF78B">
      <w:pPr>
        <w:keepNext w:val="0"/>
        <w:keepLines w:val="0"/>
        <w:pageBreakBefore w:val="0"/>
        <w:widowControl w:val="0"/>
        <w:kinsoku/>
        <w:wordWrap/>
        <w:overflowPunct/>
        <w:topLinePunct w:val="0"/>
        <w:autoSpaceDE/>
        <w:autoSpaceDN/>
        <w:bidi w:val="0"/>
        <w:adjustRightInd/>
        <w:snapToGrid/>
        <w:spacing w:line="576" w:lineRule="exact"/>
        <w:ind w:right="0"/>
        <w:jc w:val="center"/>
        <w:textAlignment w:val="auto"/>
        <w:outlineLvl w:val="1"/>
        <w:rPr>
          <w:rFonts w:hint="eastAsia" w:ascii="方正楷体简体" w:hAnsi="方正楷体简体" w:eastAsia="方正楷体简体" w:cs="方正楷体简体"/>
          <w:b w:val="0"/>
          <w:bCs/>
          <w:color w:val="auto"/>
          <w:sz w:val="32"/>
          <w:szCs w:val="32"/>
          <w:lang w:val="en-US" w:eastAsia="zh-CN"/>
        </w:rPr>
      </w:pPr>
      <w:bookmarkStart w:id="218" w:name="_Toc31577"/>
      <w:bookmarkStart w:id="219" w:name="_Toc9798"/>
      <w:r>
        <w:rPr>
          <w:rFonts w:hint="eastAsia" w:ascii="方正楷体简体" w:hAnsi="方正楷体简体" w:eastAsia="方正楷体简体" w:cs="方正楷体简体"/>
          <w:b w:val="0"/>
          <w:bCs/>
          <w:color w:val="auto"/>
          <w:sz w:val="32"/>
          <w:szCs w:val="32"/>
          <w:lang w:val="en-US" w:eastAsia="zh-CN"/>
        </w:rPr>
        <w:t>第二十一节 统筹用好援藏资源</w:t>
      </w:r>
      <w:bookmarkEnd w:id="218"/>
      <w:bookmarkEnd w:id="219"/>
    </w:p>
    <w:p w14:paraId="5535C5FD">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楷体简体" w:hAnsi="方正楷体简体" w:eastAsia="方正楷体简体" w:cs="方正楷体简体"/>
          <w:b w:val="0"/>
          <w:bCs w:val="0"/>
          <w:color w:val="auto"/>
          <w:sz w:val="32"/>
          <w:szCs w:val="32"/>
          <w:lang w:val="en-US" w:eastAsia="zh-CN"/>
        </w:rPr>
      </w:pPr>
      <w:r>
        <w:rPr>
          <w:rFonts w:hint="eastAsia" w:ascii="方正楷体简体" w:hAnsi="方正楷体简体" w:eastAsia="方正楷体简体" w:cs="方正楷体简体"/>
          <w:b w:val="0"/>
          <w:bCs w:val="0"/>
          <w:color w:val="auto"/>
          <w:sz w:val="32"/>
          <w:szCs w:val="32"/>
          <w:lang w:val="en-US" w:eastAsia="zh-CN"/>
        </w:rPr>
        <w:t>（68）统筹用好援藏资源</w:t>
      </w:r>
    </w:p>
    <w:p w14:paraId="2AF516D3">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立足那曲高寒高海拔特点和民政事业短板，完善“输血”与“造血”并重的援藏工作格局，统筹浙江、辽宁两省及中央企业等各方援藏资源，助推民政事业高质量发展。</w:t>
      </w:r>
    </w:p>
    <w:p w14:paraId="721A79C2">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w:t>
      </w:r>
      <w:r>
        <w:rPr>
          <w:rFonts w:hint="default" w:ascii="方正仿宋简体" w:hAnsi="方正仿宋简体" w:eastAsia="方正仿宋简体" w:cs="方正仿宋简体"/>
          <w:color w:val="auto"/>
          <w:sz w:val="32"/>
          <w:szCs w:val="32"/>
          <w:lang w:val="en-US" w:eastAsia="zh-CN"/>
        </w:rPr>
        <w:t>完善援藏受援工作机制</w:t>
      </w:r>
      <w:r>
        <w:rPr>
          <w:rFonts w:hint="eastAsia" w:ascii="方正仿宋简体" w:hAnsi="方正仿宋简体" w:eastAsia="方正仿宋简体" w:cs="方正仿宋简体"/>
          <w:color w:val="auto"/>
          <w:sz w:val="32"/>
          <w:szCs w:val="32"/>
          <w:lang w:val="en-US" w:eastAsia="zh-CN"/>
        </w:rPr>
        <w:t>。</w:t>
      </w:r>
      <w:r>
        <w:rPr>
          <w:rFonts w:hint="default" w:ascii="方正仿宋简体" w:hAnsi="方正仿宋简体" w:eastAsia="方正仿宋简体" w:cs="方正仿宋简体"/>
          <w:color w:val="auto"/>
          <w:sz w:val="32"/>
          <w:szCs w:val="32"/>
          <w:lang w:val="en-US" w:eastAsia="zh-CN"/>
        </w:rPr>
        <w:t>统筹整合政策、资金、项目、人才、技术等支援资源，精准对接民政事业短板和群众急难愁盼。深化县（区）与基层联动，鼓励各县（区）民政部门与对口支援县（市、区）、援藏干部团队建立“点对点”联系。</w:t>
      </w:r>
    </w:p>
    <w:p w14:paraId="75713381">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w:t>
      </w:r>
      <w:r>
        <w:rPr>
          <w:rFonts w:hint="default" w:ascii="方正仿宋简体" w:hAnsi="方正仿宋简体" w:eastAsia="方正仿宋简体" w:cs="方正仿宋简体"/>
          <w:color w:val="auto"/>
          <w:sz w:val="32"/>
          <w:szCs w:val="32"/>
          <w:lang w:val="en-US" w:eastAsia="zh-CN"/>
        </w:rPr>
        <w:t>优化援藏民政项目管理</w:t>
      </w:r>
      <w:r>
        <w:rPr>
          <w:rFonts w:hint="eastAsia" w:ascii="方正仿宋简体" w:hAnsi="方正仿宋简体" w:eastAsia="方正仿宋简体" w:cs="方正仿宋简体"/>
          <w:color w:val="auto"/>
          <w:sz w:val="32"/>
          <w:szCs w:val="32"/>
          <w:lang w:val="en-US" w:eastAsia="zh-CN"/>
        </w:rPr>
        <w:t>。民政援藏项目纳入全市“十五五”对口援藏规划，落实援藏资金“两个80%”要求，统筹推进养老、儿童等民生项目。对立项、建设、验收、移交实行闭环管理，建立绩效评价体系，加强后期运营评估。</w:t>
      </w:r>
    </w:p>
    <w:p w14:paraId="3EB04773">
      <w:pPr>
        <w:keepNext w:val="0"/>
        <w:keepLines w:val="0"/>
        <w:pageBreakBefore w:val="0"/>
        <w:widowControl w:val="0"/>
        <w:kinsoku/>
        <w:wordWrap/>
        <w:overflowPunct/>
        <w:topLinePunct w:val="0"/>
        <w:autoSpaceDE/>
        <w:autoSpaceDN/>
        <w:bidi w:val="0"/>
        <w:adjustRightInd/>
        <w:snapToGrid/>
        <w:spacing w:line="576" w:lineRule="exact"/>
        <w:ind w:right="0" w:firstLine="640" w:firstLineChars="200"/>
        <w:textAlignment w:val="auto"/>
        <w:outlineLvl w:val="2"/>
        <w:rPr>
          <w:rFonts w:hint="eastAsia"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w:t>
      </w:r>
      <w:r>
        <w:rPr>
          <w:rFonts w:hint="default" w:ascii="方正仿宋简体" w:hAnsi="方正仿宋简体" w:eastAsia="方正仿宋简体" w:cs="方正仿宋简体"/>
          <w:color w:val="auto"/>
          <w:sz w:val="32"/>
          <w:szCs w:val="32"/>
          <w:lang w:val="en-US" w:eastAsia="zh-CN"/>
        </w:rPr>
        <w:t>创新援藏支援模式</w:t>
      </w:r>
      <w:r>
        <w:rPr>
          <w:rFonts w:hint="eastAsia" w:ascii="方正仿宋简体" w:hAnsi="方正仿宋简体" w:eastAsia="方正仿宋简体" w:cs="方正仿宋简体"/>
          <w:color w:val="auto"/>
          <w:sz w:val="32"/>
          <w:szCs w:val="32"/>
          <w:lang w:val="en-US" w:eastAsia="zh-CN"/>
        </w:rPr>
        <w:t>。积极探索面向困难群众的技能培训和岗位开发合作。定期选派民政系统骨干赴援藏省市相关部门、先进社区挂职锻炼或跟岗学习。</w:t>
      </w:r>
    </w:p>
    <w:sectPr>
      <w:footerReference r:id="rId7"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00000000000000000"/>
    <w:charset w:val="86"/>
    <w:family w:val="auto"/>
    <w:pitch w:val="default"/>
    <w:sig w:usb0="00000001" w:usb1="08000000" w:usb2="00000000" w:usb3="00000000" w:csb0="00040000" w:csb1="00000000"/>
    <w:embedRegular r:id="rId1" w:fontKey="{9BA37143-AFB8-4755-878E-702C9348F4BB}"/>
  </w:font>
  <w:font w:name="方正仿宋_GBK">
    <w:panose1 w:val="02000000000000000000"/>
    <w:charset w:val="86"/>
    <w:family w:val="auto"/>
    <w:pitch w:val="default"/>
    <w:sig w:usb0="A00002BF" w:usb1="38CF7CFA" w:usb2="00082016" w:usb3="00000000" w:csb0="00040001" w:csb1="00000000"/>
    <w:embedRegular r:id="rId2" w:fontKey="{80096F6F-F9E8-43DD-9472-55B047E0B047}"/>
  </w:font>
  <w:font w:name="方正楷体简体">
    <w:altName w:val="宋体"/>
    <w:panose1 w:val="03000509000000000000"/>
    <w:charset w:val="86"/>
    <w:family w:val="auto"/>
    <w:pitch w:val="default"/>
    <w:sig w:usb0="00000000" w:usb1="00000000" w:usb2="00000000" w:usb3="00000000" w:csb0="00040000" w:csb1="00000000"/>
    <w:embedRegular r:id="rId3" w:fontKey="{014FA564-0D1C-4B20-85CE-3B32251E7FBE}"/>
  </w:font>
  <w:font w:name="方正黑体简体">
    <w:panose1 w:val="02000000000000000000"/>
    <w:charset w:val="86"/>
    <w:family w:val="auto"/>
    <w:pitch w:val="default"/>
    <w:sig w:usb0="A00002BF" w:usb1="184F6CFA" w:usb2="00000012" w:usb3="00000000" w:csb0="00040001" w:csb1="00000000"/>
    <w:embedRegular r:id="rId4" w:fontKey="{CFFC88A7-7C3C-47B7-9E43-2E1A95BF4742}"/>
  </w:font>
  <w:font w:name="方正仿宋简体">
    <w:panose1 w:val="02000000000000000000"/>
    <w:charset w:val="86"/>
    <w:family w:val="auto"/>
    <w:pitch w:val="default"/>
    <w:sig w:usb0="A00002BF" w:usb1="184F6CFA" w:usb2="00000012" w:usb3="00000000" w:csb0="00040001" w:csb1="00000000"/>
    <w:embedRegular r:id="rId5" w:fontKey="{E077DE58-C434-44B4-85B3-F62A8E4F472D}"/>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CCD81">
    <w:pPr>
      <w:pStyle w:val="1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3CA4B">
    <w:pPr>
      <w:pStyle w:val="11"/>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64377">
    <w:pPr>
      <w:pStyle w:val="11"/>
      <w:ind w:right="360" w:firstLine="360"/>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6A32E">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C16A32E">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EAAD2">
    <w:pPr>
      <w:pStyle w:val="12"/>
      <w:pBdr>
        <w:bottom w:val="none" w:color="auto" w:sz="0" w:space="1"/>
      </w:pBdr>
      <w:rPr>
        <w:rFonts w:hint="eastAsia"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A631E">
    <w:pPr>
      <w:pStyle w:val="12"/>
      <w:pBdr>
        <w:bottom w:val="none" w:color="auto" w:sz="0" w:space="1"/>
      </w:pBdr>
      <w:rPr>
        <w:rFonts w:hint="eastAsia"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kzZTgwNzQ0NzRhMTk1OTg1N2NjZjlmYzdmNTQyYzgifQ=="/>
  </w:docVars>
  <w:rsids>
    <w:rsidRoot w:val="00000000"/>
    <w:rsid w:val="00327A4C"/>
    <w:rsid w:val="008A2719"/>
    <w:rsid w:val="008F77A1"/>
    <w:rsid w:val="00CA205A"/>
    <w:rsid w:val="00DA7095"/>
    <w:rsid w:val="011F38D9"/>
    <w:rsid w:val="0192316A"/>
    <w:rsid w:val="01993CC4"/>
    <w:rsid w:val="01CE0589"/>
    <w:rsid w:val="027D48AC"/>
    <w:rsid w:val="02A66735"/>
    <w:rsid w:val="03A34A22"/>
    <w:rsid w:val="04236C2C"/>
    <w:rsid w:val="042F2A80"/>
    <w:rsid w:val="04B862AB"/>
    <w:rsid w:val="04C904B8"/>
    <w:rsid w:val="04D12EE4"/>
    <w:rsid w:val="04F53E24"/>
    <w:rsid w:val="050F6F83"/>
    <w:rsid w:val="051B49AC"/>
    <w:rsid w:val="0530678A"/>
    <w:rsid w:val="05A5324E"/>
    <w:rsid w:val="069A65B0"/>
    <w:rsid w:val="06D97A94"/>
    <w:rsid w:val="06EB324A"/>
    <w:rsid w:val="070D4C06"/>
    <w:rsid w:val="0768045D"/>
    <w:rsid w:val="07707311"/>
    <w:rsid w:val="078F0980"/>
    <w:rsid w:val="07F20659"/>
    <w:rsid w:val="08000695"/>
    <w:rsid w:val="08232CF1"/>
    <w:rsid w:val="085F3375"/>
    <w:rsid w:val="08640C24"/>
    <w:rsid w:val="089C6372"/>
    <w:rsid w:val="09187B5E"/>
    <w:rsid w:val="09651AB2"/>
    <w:rsid w:val="097500F0"/>
    <w:rsid w:val="09844447"/>
    <w:rsid w:val="09FD25BF"/>
    <w:rsid w:val="0A0C05B1"/>
    <w:rsid w:val="0AA84209"/>
    <w:rsid w:val="0AB17507"/>
    <w:rsid w:val="0B2E376B"/>
    <w:rsid w:val="0BC730D0"/>
    <w:rsid w:val="0C0E5521"/>
    <w:rsid w:val="0C4A0C45"/>
    <w:rsid w:val="0C6A5C0D"/>
    <w:rsid w:val="0CE04976"/>
    <w:rsid w:val="0CEC11E8"/>
    <w:rsid w:val="0D097FEC"/>
    <w:rsid w:val="0D7B0878"/>
    <w:rsid w:val="0D7B57AF"/>
    <w:rsid w:val="0DA31871"/>
    <w:rsid w:val="0E207C97"/>
    <w:rsid w:val="0E2C0629"/>
    <w:rsid w:val="0E315112"/>
    <w:rsid w:val="0EB339EC"/>
    <w:rsid w:val="0EB418E1"/>
    <w:rsid w:val="0EB60EDD"/>
    <w:rsid w:val="0EB86465"/>
    <w:rsid w:val="0EDB1514"/>
    <w:rsid w:val="0EEB6E8A"/>
    <w:rsid w:val="0FA17FD7"/>
    <w:rsid w:val="101B66DC"/>
    <w:rsid w:val="103537F3"/>
    <w:rsid w:val="104508CD"/>
    <w:rsid w:val="10741E80"/>
    <w:rsid w:val="10952ADA"/>
    <w:rsid w:val="10A0566F"/>
    <w:rsid w:val="10BE3BBB"/>
    <w:rsid w:val="10FC4FDB"/>
    <w:rsid w:val="112847B9"/>
    <w:rsid w:val="11357820"/>
    <w:rsid w:val="115A4615"/>
    <w:rsid w:val="122A3331"/>
    <w:rsid w:val="131D49D7"/>
    <w:rsid w:val="134578A4"/>
    <w:rsid w:val="13CB260A"/>
    <w:rsid w:val="13F54C25"/>
    <w:rsid w:val="1507363D"/>
    <w:rsid w:val="150A2B53"/>
    <w:rsid w:val="155618F4"/>
    <w:rsid w:val="15675BA6"/>
    <w:rsid w:val="157D1577"/>
    <w:rsid w:val="15E13171"/>
    <w:rsid w:val="16135A37"/>
    <w:rsid w:val="16220B67"/>
    <w:rsid w:val="16541286"/>
    <w:rsid w:val="17072BD0"/>
    <w:rsid w:val="171E4694"/>
    <w:rsid w:val="17F77A69"/>
    <w:rsid w:val="18B7736E"/>
    <w:rsid w:val="193D11DB"/>
    <w:rsid w:val="199804CB"/>
    <w:rsid w:val="19A3441D"/>
    <w:rsid w:val="19AF7825"/>
    <w:rsid w:val="1A5A3C35"/>
    <w:rsid w:val="1A8B3CBE"/>
    <w:rsid w:val="1B2129A5"/>
    <w:rsid w:val="1B2F650A"/>
    <w:rsid w:val="1B76304E"/>
    <w:rsid w:val="1BA64C58"/>
    <w:rsid w:val="1C1212AD"/>
    <w:rsid w:val="1C437325"/>
    <w:rsid w:val="1C742D5F"/>
    <w:rsid w:val="1C927EB8"/>
    <w:rsid w:val="1CB039E1"/>
    <w:rsid w:val="1CF22DCE"/>
    <w:rsid w:val="1D01483C"/>
    <w:rsid w:val="1D10607E"/>
    <w:rsid w:val="1D13631D"/>
    <w:rsid w:val="1D612A2E"/>
    <w:rsid w:val="1D810B3D"/>
    <w:rsid w:val="1D864D41"/>
    <w:rsid w:val="1D8965D2"/>
    <w:rsid w:val="1D933C7B"/>
    <w:rsid w:val="1E1F049C"/>
    <w:rsid w:val="1E4B73EA"/>
    <w:rsid w:val="1E8B2A8B"/>
    <w:rsid w:val="1F38206B"/>
    <w:rsid w:val="1F725C41"/>
    <w:rsid w:val="1F745799"/>
    <w:rsid w:val="1F867203"/>
    <w:rsid w:val="1FAD2A59"/>
    <w:rsid w:val="201E0D0F"/>
    <w:rsid w:val="20547378"/>
    <w:rsid w:val="20584C4E"/>
    <w:rsid w:val="20D06545"/>
    <w:rsid w:val="20F538CE"/>
    <w:rsid w:val="210A7A37"/>
    <w:rsid w:val="217F05AB"/>
    <w:rsid w:val="22387A21"/>
    <w:rsid w:val="225E489E"/>
    <w:rsid w:val="22A31EF1"/>
    <w:rsid w:val="23040BE2"/>
    <w:rsid w:val="23190119"/>
    <w:rsid w:val="237922FE"/>
    <w:rsid w:val="237E32CB"/>
    <w:rsid w:val="23931EE5"/>
    <w:rsid w:val="23EE3640"/>
    <w:rsid w:val="23F944BF"/>
    <w:rsid w:val="246E499A"/>
    <w:rsid w:val="24CE2019"/>
    <w:rsid w:val="25363D57"/>
    <w:rsid w:val="25665154"/>
    <w:rsid w:val="25722260"/>
    <w:rsid w:val="257F27A2"/>
    <w:rsid w:val="259F18D3"/>
    <w:rsid w:val="25AB5AE9"/>
    <w:rsid w:val="25E42F4C"/>
    <w:rsid w:val="26313133"/>
    <w:rsid w:val="26A05ED6"/>
    <w:rsid w:val="26BE379D"/>
    <w:rsid w:val="26C520B1"/>
    <w:rsid w:val="26E50D2A"/>
    <w:rsid w:val="271F6D05"/>
    <w:rsid w:val="272F0576"/>
    <w:rsid w:val="27337CE7"/>
    <w:rsid w:val="27411750"/>
    <w:rsid w:val="2758695C"/>
    <w:rsid w:val="275F15D5"/>
    <w:rsid w:val="276E56B6"/>
    <w:rsid w:val="27B37F6F"/>
    <w:rsid w:val="281F201A"/>
    <w:rsid w:val="28783245"/>
    <w:rsid w:val="28FC354A"/>
    <w:rsid w:val="2919427C"/>
    <w:rsid w:val="297351A7"/>
    <w:rsid w:val="29CA7134"/>
    <w:rsid w:val="29CD3315"/>
    <w:rsid w:val="2A717CA8"/>
    <w:rsid w:val="2A7564D1"/>
    <w:rsid w:val="2B5E72FD"/>
    <w:rsid w:val="2C3F0EDD"/>
    <w:rsid w:val="2C9E3214"/>
    <w:rsid w:val="2D402320"/>
    <w:rsid w:val="2D7F469E"/>
    <w:rsid w:val="2D8400E2"/>
    <w:rsid w:val="2D9B2143"/>
    <w:rsid w:val="2DCF318F"/>
    <w:rsid w:val="2DEB6A75"/>
    <w:rsid w:val="2E0627FD"/>
    <w:rsid w:val="2E144AF5"/>
    <w:rsid w:val="2E157F12"/>
    <w:rsid w:val="2E2E1842"/>
    <w:rsid w:val="2E322C13"/>
    <w:rsid w:val="2EB37960"/>
    <w:rsid w:val="2F0D2E1E"/>
    <w:rsid w:val="2F9506C7"/>
    <w:rsid w:val="30467249"/>
    <w:rsid w:val="30DA1475"/>
    <w:rsid w:val="318D33AD"/>
    <w:rsid w:val="32742342"/>
    <w:rsid w:val="32D53D9F"/>
    <w:rsid w:val="3315670B"/>
    <w:rsid w:val="331F3816"/>
    <w:rsid w:val="33A1280F"/>
    <w:rsid w:val="33B540F5"/>
    <w:rsid w:val="33D0525E"/>
    <w:rsid w:val="33DF48C9"/>
    <w:rsid w:val="3400734B"/>
    <w:rsid w:val="341964B7"/>
    <w:rsid w:val="348524DE"/>
    <w:rsid w:val="34BF0E0C"/>
    <w:rsid w:val="34FB200A"/>
    <w:rsid w:val="35363338"/>
    <w:rsid w:val="35571045"/>
    <w:rsid w:val="35BE10C4"/>
    <w:rsid w:val="361F13AE"/>
    <w:rsid w:val="362540B7"/>
    <w:rsid w:val="366A0B09"/>
    <w:rsid w:val="36BF3346"/>
    <w:rsid w:val="36CC3D75"/>
    <w:rsid w:val="36DB5CA6"/>
    <w:rsid w:val="372431A9"/>
    <w:rsid w:val="372C0887"/>
    <w:rsid w:val="37301088"/>
    <w:rsid w:val="3765528F"/>
    <w:rsid w:val="377D6D5D"/>
    <w:rsid w:val="38B8629F"/>
    <w:rsid w:val="38E36C80"/>
    <w:rsid w:val="38F11DE8"/>
    <w:rsid w:val="39113013"/>
    <w:rsid w:val="396E1053"/>
    <w:rsid w:val="398421BF"/>
    <w:rsid w:val="39CE6157"/>
    <w:rsid w:val="39E47ADD"/>
    <w:rsid w:val="3A2617F6"/>
    <w:rsid w:val="3A6F5083"/>
    <w:rsid w:val="3A970AAC"/>
    <w:rsid w:val="3AEE17EF"/>
    <w:rsid w:val="3C2D5608"/>
    <w:rsid w:val="3C695CEC"/>
    <w:rsid w:val="3CDE1DE3"/>
    <w:rsid w:val="3D141B87"/>
    <w:rsid w:val="3D891BD9"/>
    <w:rsid w:val="3D987226"/>
    <w:rsid w:val="3DD92295"/>
    <w:rsid w:val="3E442382"/>
    <w:rsid w:val="3E4A37E1"/>
    <w:rsid w:val="3EFC1332"/>
    <w:rsid w:val="3F147FA7"/>
    <w:rsid w:val="3F37192F"/>
    <w:rsid w:val="3FB103D3"/>
    <w:rsid w:val="40207DC4"/>
    <w:rsid w:val="409C0254"/>
    <w:rsid w:val="40D13357"/>
    <w:rsid w:val="40FF0D77"/>
    <w:rsid w:val="41BF18FF"/>
    <w:rsid w:val="420055BB"/>
    <w:rsid w:val="425D7EB7"/>
    <w:rsid w:val="43191406"/>
    <w:rsid w:val="43AD4526"/>
    <w:rsid w:val="43B00DDF"/>
    <w:rsid w:val="43E14DA2"/>
    <w:rsid w:val="43F6411F"/>
    <w:rsid w:val="447A419B"/>
    <w:rsid w:val="44953938"/>
    <w:rsid w:val="449E7498"/>
    <w:rsid w:val="44BA46C3"/>
    <w:rsid w:val="45484803"/>
    <w:rsid w:val="45733B6E"/>
    <w:rsid w:val="45794465"/>
    <w:rsid w:val="459966F2"/>
    <w:rsid w:val="459F508C"/>
    <w:rsid w:val="45B3378D"/>
    <w:rsid w:val="461A188C"/>
    <w:rsid w:val="46911FB3"/>
    <w:rsid w:val="46971BE9"/>
    <w:rsid w:val="46A934A6"/>
    <w:rsid w:val="46DD3374"/>
    <w:rsid w:val="48770554"/>
    <w:rsid w:val="49B2604B"/>
    <w:rsid w:val="49D60664"/>
    <w:rsid w:val="49DE368B"/>
    <w:rsid w:val="4A6B434D"/>
    <w:rsid w:val="4A930987"/>
    <w:rsid w:val="4AAC4BBB"/>
    <w:rsid w:val="4B0D44D6"/>
    <w:rsid w:val="4B6D2F19"/>
    <w:rsid w:val="4BBD4F78"/>
    <w:rsid w:val="4BCE772F"/>
    <w:rsid w:val="4C017B05"/>
    <w:rsid w:val="4C1A4723"/>
    <w:rsid w:val="4C1D756B"/>
    <w:rsid w:val="4C2167CF"/>
    <w:rsid w:val="4C7C53C1"/>
    <w:rsid w:val="4CAD5597"/>
    <w:rsid w:val="4D1357D9"/>
    <w:rsid w:val="4DB61CC2"/>
    <w:rsid w:val="4E0B7D01"/>
    <w:rsid w:val="4E0C113E"/>
    <w:rsid w:val="4F48342D"/>
    <w:rsid w:val="4FE8668B"/>
    <w:rsid w:val="502B33A2"/>
    <w:rsid w:val="50AA03A8"/>
    <w:rsid w:val="50C17C89"/>
    <w:rsid w:val="50C35389"/>
    <w:rsid w:val="50C870F8"/>
    <w:rsid w:val="510023D9"/>
    <w:rsid w:val="516B614C"/>
    <w:rsid w:val="518E02DD"/>
    <w:rsid w:val="51A013A6"/>
    <w:rsid w:val="51C27D36"/>
    <w:rsid w:val="51C476FE"/>
    <w:rsid w:val="51E568EC"/>
    <w:rsid w:val="52045C59"/>
    <w:rsid w:val="52287481"/>
    <w:rsid w:val="524945F4"/>
    <w:rsid w:val="52495D62"/>
    <w:rsid w:val="52674B02"/>
    <w:rsid w:val="52B70F1D"/>
    <w:rsid w:val="53A86C2D"/>
    <w:rsid w:val="53B042EA"/>
    <w:rsid w:val="53C8063D"/>
    <w:rsid w:val="545253A1"/>
    <w:rsid w:val="54B039ED"/>
    <w:rsid w:val="54BB5B6B"/>
    <w:rsid w:val="55302F08"/>
    <w:rsid w:val="55524D04"/>
    <w:rsid w:val="55766E6E"/>
    <w:rsid w:val="55B172C9"/>
    <w:rsid w:val="55B654BC"/>
    <w:rsid w:val="55E646DC"/>
    <w:rsid w:val="55F85209"/>
    <w:rsid w:val="565B1308"/>
    <w:rsid w:val="56AA497E"/>
    <w:rsid w:val="56B92C4C"/>
    <w:rsid w:val="571B5F1F"/>
    <w:rsid w:val="572430DA"/>
    <w:rsid w:val="57317D24"/>
    <w:rsid w:val="5785783C"/>
    <w:rsid w:val="5799049A"/>
    <w:rsid w:val="582C7CB7"/>
    <w:rsid w:val="59276BDD"/>
    <w:rsid w:val="59513E7A"/>
    <w:rsid w:val="598D4786"/>
    <w:rsid w:val="59A41FA0"/>
    <w:rsid w:val="59A71CEC"/>
    <w:rsid w:val="59E22A73"/>
    <w:rsid w:val="5A422574"/>
    <w:rsid w:val="5B3C753C"/>
    <w:rsid w:val="5B420646"/>
    <w:rsid w:val="5BA3127F"/>
    <w:rsid w:val="5BA97D3C"/>
    <w:rsid w:val="5BE64A8D"/>
    <w:rsid w:val="5BF705D9"/>
    <w:rsid w:val="5C013209"/>
    <w:rsid w:val="5C7B41F9"/>
    <w:rsid w:val="5C89392A"/>
    <w:rsid w:val="5CDE7A6E"/>
    <w:rsid w:val="5CE114B9"/>
    <w:rsid w:val="5CE46DD2"/>
    <w:rsid w:val="5CF1327E"/>
    <w:rsid w:val="5CF51E42"/>
    <w:rsid w:val="5CF865E1"/>
    <w:rsid w:val="5CFB544B"/>
    <w:rsid w:val="5DB004FB"/>
    <w:rsid w:val="5DC03935"/>
    <w:rsid w:val="5DFA1A26"/>
    <w:rsid w:val="5E713BD3"/>
    <w:rsid w:val="5EDB1AE4"/>
    <w:rsid w:val="5FD11495"/>
    <w:rsid w:val="6051650D"/>
    <w:rsid w:val="60C0155B"/>
    <w:rsid w:val="60D06FA4"/>
    <w:rsid w:val="60E05A68"/>
    <w:rsid w:val="610259BA"/>
    <w:rsid w:val="61442E24"/>
    <w:rsid w:val="61F26357"/>
    <w:rsid w:val="623E7A3B"/>
    <w:rsid w:val="626C5880"/>
    <w:rsid w:val="62935E99"/>
    <w:rsid w:val="63495BC1"/>
    <w:rsid w:val="63A16C97"/>
    <w:rsid w:val="64AA77F8"/>
    <w:rsid w:val="65726742"/>
    <w:rsid w:val="658304B2"/>
    <w:rsid w:val="65B94090"/>
    <w:rsid w:val="65E63B9C"/>
    <w:rsid w:val="66245BD9"/>
    <w:rsid w:val="668128B8"/>
    <w:rsid w:val="66AA4704"/>
    <w:rsid w:val="66AB0AB5"/>
    <w:rsid w:val="66B207C1"/>
    <w:rsid w:val="66FA1019"/>
    <w:rsid w:val="6782764B"/>
    <w:rsid w:val="67A755AC"/>
    <w:rsid w:val="67AA7DA2"/>
    <w:rsid w:val="67CE6E09"/>
    <w:rsid w:val="68146909"/>
    <w:rsid w:val="68352BB8"/>
    <w:rsid w:val="683F4BBF"/>
    <w:rsid w:val="685A617B"/>
    <w:rsid w:val="68844F61"/>
    <w:rsid w:val="68C36416"/>
    <w:rsid w:val="68CA13F3"/>
    <w:rsid w:val="691F232A"/>
    <w:rsid w:val="693764BC"/>
    <w:rsid w:val="69656397"/>
    <w:rsid w:val="6A3053E5"/>
    <w:rsid w:val="6AD70C43"/>
    <w:rsid w:val="6B0074AE"/>
    <w:rsid w:val="6B827EC3"/>
    <w:rsid w:val="6B915391"/>
    <w:rsid w:val="6BFA7686"/>
    <w:rsid w:val="6C774A8C"/>
    <w:rsid w:val="6C7D228D"/>
    <w:rsid w:val="6C8A198E"/>
    <w:rsid w:val="6CAC2EE6"/>
    <w:rsid w:val="6CF90B45"/>
    <w:rsid w:val="6D6C0E2A"/>
    <w:rsid w:val="6D9B2006"/>
    <w:rsid w:val="6DF542BD"/>
    <w:rsid w:val="6E1F7C4B"/>
    <w:rsid w:val="6E2D66B8"/>
    <w:rsid w:val="6E4964BF"/>
    <w:rsid w:val="6E8E2D1A"/>
    <w:rsid w:val="6F885CC3"/>
    <w:rsid w:val="6FA83CA4"/>
    <w:rsid w:val="70AE42C8"/>
    <w:rsid w:val="70AF7F0C"/>
    <w:rsid w:val="70D3143F"/>
    <w:rsid w:val="710E21F8"/>
    <w:rsid w:val="71163687"/>
    <w:rsid w:val="713E28A3"/>
    <w:rsid w:val="714C1CD2"/>
    <w:rsid w:val="714D4ACF"/>
    <w:rsid w:val="715C20BD"/>
    <w:rsid w:val="71711A8F"/>
    <w:rsid w:val="71C70D25"/>
    <w:rsid w:val="71CE2706"/>
    <w:rsid w:val="725A21C1"/>
    <w:rsid w:val="72793A06"/>
    <w:rsid w:val="72971970"/>
    <w:rsid w:val="72B50B7E"/>
    <w:rsid w:val="73075151"/>
    <w:rsid w:val="73635701"/>
    <w:rsid w:val="73AE5F11"/>
    <w:rsid w:val="73FA4C7E"/>
    <w:rsid w:val="7512398B"/>
    <w:rsid w:val="755E6E63"/>
    <w:rsid w:val="75AF3FAA"/>
    <w:rsid w:val="75FA5601"/>
    <w:rsid w:val="760C0C37"/>
    <w:rsid w:val="762A436F"/>
    <w:rsid w:val="764861AD"/>
    <w:rsid w:val="767921ED"/>
    <w:rsid w:val="769767EC"/>
    <w:rsid w:val="76C5185F"/>
    <w:rsid w:val="76ED6FF0"/>
    <w:rsid w:val="773504DF"/>
    <w:rsid w:val="77F40860"/>
    <w:rsid w:val="7883527A"/>
    <w:rsid w:val="799B3296"/>
    <w:rsid w:val="7A460355"/>
    <w:rsid w:val="7A902216"/>
    <w:rsid w:val="7AA46503"/>
    <w:rsid w:val="7AE37695"/>
    <w:rsid w:val="7B2A14E9"/>
    <w:rsid w:val="7B2C6528"/>
    <w:rsid w:val="7BB51BEE"/>
    <w:rsid w:val="7C183185"/>
    <w:rsid w:val="7C1D7794"/>
    <w:rsid w:val="7C56781D"/>
    <w:rsid w:val="7CB25BB2"/>
    <w:rsid w:val="7CF256C0"/>
    <w:rsid w:val="7D29034B"/>
    <w:rsid w:val="7D566EE8"/>
    <w:rsid w:val="7D5C1858"/>
    <w:rsid w:val="7D760836"/>
    <w:rsid w:val="7DCE1447"/>
    <w:rsid w:val="7DDE69E2"/>
    <w:rsid w:val="7F2758A2"/>
    <w:rsid w:val="7F775DA9"/>
    <w:rsid w:val="7FBB2811"/>
    <w:rsid w:val="7FC62616"/>
    <w:rsid w:val="B7787C99"/>
    <w:rsid w:val="FDCCA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keepLines/>
      <w:spacing w:before="200" w:after="200" w:line="140" w:lineRule="exact"/>
      <w:jc w:val="center"/>
      <w:outlineLvl w:val="0"/>
    </w:pPr>
    <w:rPr>
      <w:rFonts w:ascii="华文中宋" w:hAnsi="华文中宋" w:eastAsia="华文中宋"/>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link w:val="22"/>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1"/>
    <w:rPr>
      <w:rFonts w:ascii="宋体" w:hAnsi="宋体" w:cs="宋体"/>
      <w:sz w:val="24"/>
      <w:szCs w:val="24"/>
      <w:lang w:val="zh-CN" w:bidi="zh-CN"/>
    </w:rPr>
  </w:style>
  <w:style w:type="paragraph" w:styleId="8">
    <w:name w:val="Body Text Indent"/>
    <w:basedOn w:val="1"/>
    <w:next w:val="9"/>
    <w:qFormat/>
    <w:uiPriority w:val="0"/>
    <w:pPr>
      <w:ind w:left="420" w:leftChars="200"/>
    </w:pPr>
  </w:style>
  <w:style w:type="paragraph" w:styleId="9">
    <w:name w:val="index 7"/>
    <w:basedOn w:val="1"/>
    <w:next w:val="1"/>
    <w:qFormat/>
    <w:uiPriority w:val="0"/>
    <w:pPr>
      <w:spacing w:beforeLines="0" w:afterLines="0"/>
      <w:ind w:left="1200" w:leftChars="1200"/>
    </w:pPr>
    <w:rPr>
      <w:rFonts w:hint="default"/>
      <w:sz w:val="21"/>
      <w:szCs w:val="24"/>
    </w:rPr>
  </w:style>
  <w:style w:type="paragraph" w:styleId="10">
    <w:name w:val="toc 3"/>
    <w:basedOn w:val="1"/>
    <w:next w:val="1"/>
    <w:qFormat/>
    <w:uiPriority w:val="0"/>
    <w:pPr>
      <w:ind w:left="840" w:leftChars="400"/>
    </w:p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Autospacing="1" w:afterAutospacing="1"/>
      <w:jc w:val="left"/>
    </w:pPr>
    <w:rPr>
      <w:kern w:val="0"/>
      <w:sz w:val="24"/>
    </w:rPr>
  </w:style>
  <w:style w:type="paragraph" w:styleId="16">
    <w:name w:val="Body Text First Indent 2"/>
    <w:basedOn w:val="8"/>
    <w:next w:val="1"/>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标题 3 Char1"/>
    <w:link w:val="4"/>
    <w:qFormat/>
    <w:uiPriority w:val="0"/>
    <w:rPr>
      <w:rFonts w:hint="eastAsia" w:ascii="宋体" w:hAnsi="宋体" w:eastAsia="宋体" w:cs="宋体"/>
      <w:b/>
      <w:bCs/>
      <w:kern w:val="0"/>
      <w:sz w:val="27"/>
      <w:szCs w:val="27"/>
      <w:lang w:val="en-US" w:eastAsia="zh-CN" w:bidi="ar"/>
    </w:rPr>
  </w:style>
  <w:style w:type="paragraph" w:customStyle="1" w:styleId="23">
    <w:name w:val="正文首行缩进 21"/>
    <w:basedOn w:val="24"/>
    <w:qFormat/>
    <w:uiPriority w:val="0"/>
    <w:pPr>
      <w:ind w:firstLine="420" w:firstLineChars="200"/>
    </w:pPr>
  </w:style>
  <w:style w:type="paragraph" w:customStyle="1" w:styleId="24">
    <w:name w:val="正文文本缩进1"/>
    <w:basedOn w:val="1"/>
    <w:qFormat/>
    <w:uiPriority w:val="0"/>
    <w:pPr>
      <w:ind w:left="420" w:leftChars="200"/>
    </w:pPr>
  </w:style>
  <w:style w:type="paragraph" w:customStyle="1" w:styleId="25">
    <w:name w:val="正文文本 (2)"/>
    <w:basedOn w:val="1"/>
    <w:qFormat/>
    <w:uiPriority w:val="0"/>
    <w:pPr>
      <w:widowControl w:val="0"/>
      <w:shd w:val="clear" w:color="auto" w:fill="FFFFFF"/>
      <w:spacing w:line="524" w:lineRule="exact"/>
      <w:ind w:firstLine="640"/>
    </w:pPr>
    <w:rPr>
      <w:rFonts w:ascii="MingLiU" w:hAnsi="MingLiU" w:eastAsia="MingLiU" w:cs="MingLiU"/>
      <w:color w:val="161B31"/>
      <w:sz w:val="28"/>
      <w:szCs w:val="28"/>
      <w:u w:val="none"/>
      <w:lang w:val="zh-CN" w:eastAsia="zh-CN" w:bidi="zh-CN"/>
    </w:rPr>
  </w:style>
  <w:style w:type="paragraph" w:customStyle="1" w:styleId="26">
    <w:name w:val="正文文本1"/>
    <w:basedOn w:val="1"/>
    <w:qFormat/>
    <w:uiPriority w:val="0"/>
    <w:pPr>
      <w:widowControl w:val="0"/>
      <w:shd w:val="clear" w:color="auto" w:fill="FFFFFF"/>
      <w:spacing w:line="374" w:lineRule="auto"/>
      <w:ind w:firstLine="400"/>
    </w:pPr>
    <w:rPr>
      <w:rFonts w:ascii="MingLiU" w:hAnsi="MingLiU" w:eastAsia="MingLiU" w:cs="MingLiU"/>
      <w:color w:val="13182E"/>
      <w:sz w:val="28"/>
      <w:szCs w:val="28"/>
      <w:u w:val="none"/>
      <w:lang w:val="zh-CN" w:eastAsia="zh-CN" w:bidi="zh-CN"/>
    </w:rPr>
  </w:style>
  <w:style w:type="paragraph" w:customStyle="1" w:styleId="27">
    <w:name w:val="WPSOffice手动目录 1"/>
    <w:qFormat/>
    <w:uiPriority w:val="0"/>
    <w:pPr>
      <w:ind w:leftChars="0"/>
    </w:pPr>
    <w:rPr>
      <w:rFonts w:ascii="Times New Roman" w:hAnsi="Times New Roman" w:eastAsia="宋体" w:cs="Times New Roman"/>
      <w:sz w:val="20"/>
      <w:szCs w:val="20"/>
    </w:rPr>
  </w:style>
  <w:style w:type="paragraph" w:customStyle="1" w:styleId="2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d80a62d8-720b-4764-9c5a-08331a664a96</errorID>
      <errorWord>困难家庭基本生活保障</errorWord>
      <group>L1_Political</group>
      <groupName>政治性问题</groupName>
      <ability>L2_Keyword</ability>
      <abilityName>固定表述</abilityName>
      <candidateList>
        <item>困难群众基本生活保障</item>
      </candidateList>
      <explain>词汇“困难群众基本生活保障”在特定场景下为固定表述形式，请确认此处的“困难家庭基本生活保障”是否存在不当。</explain>
      <paraID> E8D02E9</paraID>
      <start>151</start>
      <end>161</end>
      <status>ignored</status>
      <modifiedWord/>
      <trackRevisions>false</trackRevisions>
    </reviewItem>
    <reviewItem>
      <errorID>7ce59350-f567-4bee-b27f-43716188ecaf</errorID>
      <errorWord>弱有众扶</errorWord>
      <group>L1_Political</group>
      <groupName>政治性问题</groupName>
      <ability>L2_Keyword</ability>
      <abilityName>固定表述</abilityName>
      <candidateList>
        <item>弱有所扶</item>
      </candidateList>
      <explain>此处内容疑似含有固定表述相关错误，建议核查。</explain>
      <paraID>608024ED</paraID>
      <start>334</start>
      <end>338</end>
      <status>ignored</status>
      <modifiedWord/>
      <trackRevisions>false</trackRevisions>
    </reviewItem>
    <reviewItem>
      <errorID>b1215785-e0ea-47f2-876b-bbd33e7a1d6c</errorID>
      <errorWord>服务水平</errorWord>
      <group>L1_Word</group>
      <groupName>字词问题</groupName>
      <ability>L2_Typo</ability>
      <abilityName>字词错误</abilityName>
      <candidateList>
        <item>服务质量</item>
      </candidateList>
      <explain/>
      <paraID>2FBD35DF</paraID>
      <start>164</start>
      <end>168</end>
      <status>ignored</status>
      <modifiedWord/>
      <trackRevisions>false</trackRevisions>
    </reviewItem>
    <reviewItem>
      <errorID>3ed48318-cc23-4da2-87ed-8619ad3ac165</errorID>
      <errorWord>深化</errorWord>
      <group>L1_Word</group>
      <groupName>字词问题</groupName>
      <ability>L2_Typo</ability>
      <abilityName>字词错误</abilityName>
      <candidateList>
        <item>加大</item>
      </candidateList>
      <explain/>
      <paraID>4680EF62</paraID>
      <start>24</start>
      <end>26</end>
      <status>modified</status>
      <modifiedWord>加大</modifiedWord>
      <trackRevisions>false</trackRevisions>
    </reviewItem>
    <reviewItem>
      <errorID>fcec3be6-6b9d-4266-9994-180564991dd3</errorID>
      <errorWord>“一网通办</errorWord>
      <group>L1_Political</group>
      <groupName>政治性问题</groupName>
      <ability>L2_Unpolitical</ability>
      <abilityName>政治敏感错误</abilityName>
      <candidateList>
        <item>‘一网通办’</item>
      </candidateList>
      <explain/>
      <paraID>59DE4740</paraID>
      <start>55</start>
      <end>60</end>
      <status>ignored</status>
      <modifiedWord/>
      <trackRevisions>false</trackRevisions>
    </reviewItem>
    <reviewItem>
      <errorID>ae681266-7837-4e75-b264-067cd4ba91cc</errorID>
      <errorWord>家风好家教好</errorWord>
      <group>L1_Grammar</group>
      <groupName>语法问题</groupName>
      <ability>L2_Grammar</ability>
      <abilityName>语法错误</abilityName>
      <candidateList>
        <item>家风家教</item>
      </candidateList>
      <explain/>
      <paraID> 2E71EDB</paraID>
      <start>129</start>
      <end>135</end>
      <status>ignored</status>
      <modifiedWord/>
      <trackRevisions>false</trackRevisions>
    </reviewItem>
    <reviewItem>
      <errorID>204d9c8f-ee5b-4897-ba6a-f183d2d32867</errorID>
      <errorWord>天葬台</errorWord>
      <group>L1_Sensitive</group>
      <groupName>敏感问题</groupName>
      <ability>L2_Violent</ability>
      <abilityName>暴恐词条</abilityName>
      <candidateList/>
      <explain>【暴恐词条】句中包含暴恐类敏感词条，请注意甄别。</explain>
      <paraID>40B1D9B1</paraID>
      <start>198</start>
      <end>201</end>
      <status>ignored</status>
      <modifiedWord/>
      <trackRevisions>false</trackRevisions>
    </reviewItem>
    <reviewItem>
      <errorID>1044382c-12d1-456e-900b-3c730a7802a2</errorID>
      <errorWord>天葬台</errorWord>
      <group>L1_Sensitive</group>
      <groupName>敏感问题</groupName>
      <ability>L2_Violent</ability>
      <abilityName>暴恐词条</abilityName>
      <candidateList/>
      <explain>【暴恐词条】句中包含暴恐类敏感词条，请注意甄别。</explain>
      <paraID>40B1D9B1</paraID>
      <start>220</start>
      <end>223</end>
      <status>ignored</status>
      <modifiedWord/>
      <trackRevisions>false</trackRevisions>
    </reviewItem>
    <reviewItem>
      <errorID>91ff795e-3c1a-4e75-b11c-0bc682f167d8</errorID>
      <errorWord>著名</errorWord>
      <group>L1_Word</group>
      <groupName>字词问题</groupName>
      <ability>L2_Typo</ability>
      <abilityName>字词错误</abilityName>
      <candidateList>
        <item>命名</item>
      </candidateList>
      <explain/>
      <paraID>42C1052A</paraID>
      <start>18</start>
      <end>20</end>
      <status>ignored</status>
      <modifiedWord/>
      <trackRevisions>false</trackRevisions>
    </reviewItem>
    <reviewItem>
      <errorID>80440ff2-a1ed-45df-b460-06739a42db7e</errorID>
      <errorWord>，</errorWord>
      <group>L1_Grammar</group>
      <groupName>语法问题</groupName>
      <ability>L2_Grammar</ability>
      <abilityName>语法错误</abilityName>
      <candidateList>
        <item>力度，</item>
      </candidateList>
      <explain/>
      <paraID>6CF7536B</paraID>
      <start>140</start>
      <end>143</end>
      <status>modified</status>
      <modifiedWord>力度，</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e2102a-a724-41ef-89d3-9be65b470787}">
  <ds:schemaRefs/>
</ds:datastoreItem>
</file>

<file path=docProps/app.xml><?xml version="1.0" encoding="utf-8"?>
<Properties xmlns="http://schemas.openxmlformats.org/officeDocument/2006/extended-properties" xmlns:vt="http://schemas.openxmlformats.org/officeDocument/2006/docPropsVTypes">
  <Template>Normal.dotm</Template>
  <Pages>54</Pages>
  <Words>27577</Words>
  <Characters>27810</Characters>
  <Lines>0</Lines>
  <Paragraphs>0</Paragraphs>
  <TotalTime>56</TotalTime>
  <ScaleCrop>false</ScaleCrop>
  <LinksUpToDate>false</LinksUpToDate>
  <CharactersWithSpaces>27942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2025-11-12T02:53:00Z</dcterms:created>
  <dc:creator>ran'ling'gang</dc:creator>
  <cp:lastModifiedBy>小刚</cp:lastModifiedBy>
  <cp:lastPrinted>2026-05-29T12:11:00Z</cp:lastPrinted>
  <dcterms:modified xsi:type="dcterms:W3CDTF">2026-10-10T08:50:25Z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eyJoZGlkIjoiMTg1NGFiMDFkMjNiYTZlYjM5NjRjMTYyZmEwNmI5YzgiLCJ1c2VySWQiOiIxMDE5NjcxMzczIn0=</vt:lpwstr>
  </property>
  <property fmtid="{D5CDD505-2E9C-101B-9397-08002B2CF9AE}" pid="4" name="ICV">
    <vt:lpwstr>99FC79A339E94672959F5CC6646E92D1_13</vt:lpwstr>
  </property>
</Properties>
</file>